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762D9005"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w:t>
      </w:r>
      <w:r w:rsidR="006B09C4">
        <w:rPr>
          <w:rFonts w:asciiTheme="majorHAnsi" w:hAnsiTheme="majorHAnsi"/>
          <w:color w:val="FFFFFF" w:themeColor="background1"/>
          <w:sz w:val="56"/>
          <w:szCs w:val="72"/>
        </w:rPr>
        <w:t>1</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00183D6C">
        <w:rPr>
          <w:rFonts w:asciiTheme="majorHAnsi" w:hAnsiTheme="majorHAnsi"/>
          <w:color w:val="FFFFFF" w:themeColor="background1"/>
          <w:sz w:val="56"/>
          <w:szCs w:val="72"/>
        </w:rPr>
        <w:t>10</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83388208"/>
      <w:r w:rsidRPr="008E2AD9">
        <w:rPr>
          <w:rFonts w:hint="eastAsia"/>
        </w:rPr>
        <w:lastRenderedPageBreak/>
        <w:t>目录</w:t>
      </w:r>
      <w:bookmarkEnd w:id="1"/>
      <w:bookmarkEnd w:id="2"/>
    </w:p>
    <w:p w14:paraId="2B743382" w14:textId="79ED083B" w:rsidR="00BE1F18"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83388208" w:history="1">
        <w:r w:rsidR="00BE1F18" w:rsidRPr="00CA0EB3">
          <w:rPr>
            <w:rStyle w:val="Hyperlink"/>
            <w:rFonts w:hint="eastAsia"/>
            <w:noProof/>
          </w:rPr>
          <w:t>目录</w:t>
        </w:r>
        <w:r w:rsidR="00BE1F18">
          <w:rPr>
            <w:noProof/>
            <w:webHidden/>
          </w:rPr>
          <w:tab/>
        </w:r>
        <w:r w:rsidR="00BE1F18">
          <w:rPr>
            <w:noProof/>
            <w:webHidden/>
          </w:rPr>
          <w:fldChar w:fldCharType="begin"/>
        </w:r>
        <w:r w:rsidR="00BE1F18">
          <w:rPr>
            <w:noProof/>
            <w:webHidden/>
          </w:rPr>
          <w:instrText xml:space="preserve"> PAGEREF _Toc83388208 \h </w:instrText>
        </w:r>
        <w:r w:rsidR="00BE1F18">
          <w:rPr>
            <w:noProof/>
            <w:webHidden/>
          </w:rPr>
        </w:r>
        <w:r w:rsidR="00BE1F18">
          <w:rPr>
            <w:noProof/>
            <w:webHidden/>
          </w:rPr>
          <w:fldChar w:fldCharType="separate"/>
        </w:r>
        <w:r w:rsidR="00BE1F18">
          <w:rPr>
            <w:noProof/>
            <w:webHidden/>
          </w:rPr>
          <w:t>2</w:t>
        </w:r>
        <w:r w:rsidR="00BE1F18">
          <w:rPr>
            <w:noProof/>
            <w:webHidden/>
          </w:rPr>
          <w:fldChar w:fldCharType="end"/>
        </w:r>
      </w:hyperlink>
    </w:p>
    <w:p w14:paraId="23E8C0DE" w14:textId="0F1EE5DC" w:rsidR="00BE1F18" w:rsidRDefault="00A316D5">
      <w:pPr>
        <w:pStyle w:val="TOC1"/>
        <w:tabs>
          <w:tab w:val="right" w:leader="dot" w:pos="5030"/>
        </w:tabs>
        <w:rPr>
          <w:rFonts w:eastAsiaTheme="minorEastAsia"/>
          <w:b w:val="0"/>
          <w:caps w:val="0"/>
          <w:noProof/>
          <w:sz w:val="22"/>
        </w:rPr>
      </w:pPr>
      <w:hyperlink w:anchor="_Toc83388209" w:history="1">
        <w:r w:rsidR="00BE1F18" w:rsidRPr="00CA0EB3">
          <w:rPr>
            <w:rStyle w:val="Hyperlink"/>
            <w:rFonts w:hint="eastAsia"/>
            <w:noProof/>
          </w:rPr>
          <w:t>简介</w:t>
        </w:r>
        <w:r w:rsidR="00BE1F18">
          <w:rPr>
            <w:noProof/>
            <w:webHidden/>
          </w:rPr>
          <w:tab/>
        </w:r>
        <w:r w:rsidR="00BE1F18">
          <w:rPr>
            <w:noProof/>
            <w:webHidden/>
          </w:rPr>
          <w:fldChar w:fldCharType="begin"/>
        </w:r>
        <w:r w:rsidR="00BE1F18">
          <w:rPr>
            <w:noProof/>
            <w:webHidden/>
          </w:rPr>
          <w:instrText xml:space="preserve"> PAGEREF _Toc83388209 \h </w:instrText>
        </w:r>
        <w:r w:rsidR="00BE1F18">
          <w:rPr>
            <w:noProof/>
            <w:webHidden/>
          </w:rPr>
        </w:r>
        <w:r w:rsidR="00BE1F18">
          <w:rPr>
            <w:noProof/>
            <w:webHidden/>
          </w:rPr>
          <w:fldChar w:fldCharType="separate"/>
        </w:r>
        <w:r w:rsidR="00BE1F18">
          <w:rPr>
            <w:noProof/>
            <w:webHidden/>
          </w:rPr>
          <w:t>3</w:t>
        </w:r>
        <w:r w:rsidR="00BE1F18">
          <w:rPr>
            <w:noProof/>
            <w:webHidden/>
          </w:rPr>
          <w:fldChar w:fldCharType="end"/>
        </w:r>
      </w:hyperlink>
    </w:p>
    <w:p w14:paraId="333BD8CB" w14:textId="02D5BAA1" w:rsidR="00BE1F18" w:rsidRDefault="00A316D5">
      <w:pPr>
        <w:pStyle w:val="TOC5"/>
        <w:rPr>
          <w:rFonts w:eastAsiaTheme="minorEastAsia"/>
          <w:noProof/>
          <w:sz w:val="22"/>
        </w:rPr>
      </w:pPr>
      <w:hyperlink w:anchor="_Toc83388210" w:history="1">
        <w:r w:rsidR="00BE1F18" w:rsidRPr="00CA0EB3">
          <w:rPr>
            <w:rStyle w:val="Hyperlink"/>
            <w:rFonts w:hint="eastAsia"/>
            <w:noProof/>
          </w:rPr>
          <w:t>服务级别协议</w:t>
        </w:r>
        <w:r w:rsidR="00BE1F18">
          <w:rPr>
            <w:noProof/>
            <w:webHidden/>
          </w:rPr>
          <w:tab/>
        </w:r>
        <w:r w:rsidR="00BE1F18">
          <w:rPr>
            <w:noProof/>
            <w:webHidden/>
          </w:rPr>
          <w:fldChar w:fldCharType="begin"/>
        </w:r>
        <w:r w:rsidR="00BE1F18">
          <w:rPr>
            <w:noProof/>
            <w:webHidden/>
          </w:rPr>
          <w:instrText xml:space="preserve"> PAGEREF _Toc83388210 \h </w:instrText>
        </w:r>
        <w:r w:rsidR="00BE1F18">
          <w:rPr>
            <w:noProof/>
            <w:webHidden/>
          </w:rPr>
        </w:r>
        <w:r w:rsidR="00BE1F18">
          <w:rPr>
            <w:noProof/>
            <w:webHidden/>
          </w:rPr>
          <w:fldChar w:fldCharType="separate"/>
        </w:r>
        <w:r w:rsidR="00BE1F18">
          <w:rPr>
            <w:noProof/>
            <w:webHidden/>
          </w:rPr>
          <w:t>3</w:t>
        </w:r>
        <w:r w:rsidR="00BE1F18">
          <w:rPr>
            <w:noProof/>
            <w:webHidden/>
          </w:rPr>
          <w:fldChar w:fldCharType="end"/>
        </w:r>
      </w:hyperlink>
    </w:p>
    <w:p w14:paraId="19F8BCEA" w14:textId="4EE06968" w:rsidR="00BE1F18" w:rsidRDefault="00A316D5">
      <w:pPr>
        <w:pStyle w:val="TOC5"/>
        <w:rPr>
          <w:rFonts w:eastAsiaTheme="minorEastAsia"/>
          <w:noProof/>
          <w:sz w:val="22"/>
        </w:rPr>
      </w:pPr>
      <w:hyperlink w:anchor="_Toc83388211" w:history="1">
        <w:r w:rsidR="00BE1F18" w:rsidRPr="00CA0EB3">
          <w:rPr>
            <w:rStyle w:val="Hyperlink"/>
            <w:rFonts w:hint="eastAsia"/>
            <w:noProof/>
          </w:rPr>
          <w:t>适用的在线服务条款及更新</w:t>
        </w:r>
        <w:r w:rsidR="00BE1F18">
          <w:rPr>
            <w:noProof/>
            <w:webHidden/>
          </w:rPr>
          <w:tab/>
        </w:r>
        <w:r w:rsidR="00BE1F18">
          <w:rPr>
            <w:noProof/>
            <w:webHidden/>
          </w:rPr>
          <w:fldChar w:fldCharType="begin"/>
        </w:r>
        <w:r w:rsidR="00BE1F18">
          <w:rPr>
            <w:noProof/>
            <w:webHidden/>
          </w:rPr>
          <w:instrText xml:space="preserve"> PAGEREF _Toc83388211 \h </w:instrText>
        </w:r>
        <w:r w:rsidR="00BE1F18">
          <w:rPr>
            <w:noProof/>
            <w:webHidden/>
          </w:rPr>
        </w:r>
        <w:r w:rsidR="00BE1F18">
          <w:rPr>
            <w:noProof/>
            <w:webHidden/>
          </w:rPr>
          <w:fldChar w:fldCharType="separate"/>
        </w:r>
        <w:r w:rsidR="00BE1F18">
          <w:rPr>
            <w:noProof/>
            <w:webHidden/>
          </w:rPr>
          <w:t>3</w:t>
        </w:r>
        <w:r w:rsidR="00BE1F18">
          <w:rPr>
            <w:noProof/>
            <w:webHidden/>
          </w:rPr>
          <w:fldChar w:fldCharType="end"/>
        </w:r>
      </w:hyperlink>
    </w:p>
    <w:p w14:paraId="76741653" w14:textId="42378911" w:rsidR="00BE1F18" w:rsidRDefault="00A316D5">
      <w:pPr>
        <w:pStyle w:val="TOC5"/>
        <w:rPr>
          <w:rFonts w:eastAsiaTheme="minorEastAsia"/>
          <w:noProof/>
          <w:sz w:val="22"/>
        </w:rPr>
      </w:pPr>
      <w:hyperlink w:anchor="_Toc83388212" w:history="1">
        <w:r w:rsidR="00BE1F18" w:rsidRPr="00CA0EB3">
          <w:rPr>
            <w:rStyle w:val="Hyperlink"/>
            <w:rFonts w:hint="eastAsia"/>
            <w:noProof/>
          </w:rPr>
          <w:t>电子通知</w:t>
        </w:r>
        <w:r w:rsidR="00BE1F18">
          <w:rPr>
            <w:noProof/>
            <w:webHidden/>
          </w:rPr>
          <w:tab/>
        </w:r>
        <w:r w:rsidR="00BE1F18">
          <w:rPr>
            <w:noProof/>
            <w:webHidden/>
          </w:rPr>
          <w:fldChar w:fldCharType="begin"/>
        </w:r>
        <w:r w:rsidR="00BE1F18">
          <w:rPr>
            <w:noProof/>
            <w:webHidden/>
          </w:rPr>
          <w:instrText xml:space="preserve"> PAGEREF _Toc83388212 \h </w:instrText>
        </w:r>
        <w:r w:rsidR="00BE1F18">
          <w:rPr>
            <w:noProof/>
            <w:webHidden/>
          </w:rPr>
        </w:r>
        <w:r w:rsidR="00BE1F18">
          <w:rPr>
            <w:noProof/>
            <w:webHidden/>
          </w:rPr>
          <w:fldChar w:fldCharType="separate"/>
        </w:r>
        <w:r w:rsidR="00BE1F18">
          <w:rPr>
            <w:noProof/>
            <w:webHidden/>
          </w:rPr>
          <w:t>3</w:t>
        </w:r>
        <w:r w:rsidR="00BE1F18">
          <w:rPr>
            <w:noProof/>
            <w:webHidden/>
          </w:rPr>
          <w:fldChar w:fldCharType="end"/>
        </w:r>
      </w:hyperlink>
    </w:p>
    <w:p w14:paraId="5E896CA1" w14:textId="15776B86" w:rsidR="00BE1F18" w:rsidRDefault="00A316D5">
      <w:pPr>
        <w:pStyle w:val="TOC5"/>
        <w:rPr>
          <w:rFonts w:eastAsiaTheme="minorEastAsia"/>
          <w:noProof/>
          <w:sz w:val="22"/>
        </w:rPr>
      </w:pPr>
      <w:hyperlink w:anchor="_Toc83388213" w:history="1">
        <w:r w:rsidR="00BE1F18" w:rsidRPr="00CA0EB3">
          <w:rPr>
            <w:rStyle w:val="Hyperlink"/>
            <w:rFonts w:hint="eastAsia"/>
            <w:noProof/>
          </w:rPr>
          <w:t>早期版本</w:t>
        </w:r>
        <w:r w:rsidR="00BE1F18">
          <w:rPr>
            <w:noProof/>
            <w:webHidden/>
          </w:rPr>
          <w:tab/>
        </w:r>
        <w:r w:rsidR="00BE1F18">
          <w:rPr>
            <w:noProof/>
            <w:webHidden/>
          </w:rPr>
          <w:fldChar w:fldCharType="begin"/>
        </w:r>
        <w:r w:rsidR="00BE1F18">
          <w:rPr>
            <w:noProof/>
            <w:webHidden/>
          </w:rPr>
          <w:instrText xml:space="preserve"> PAGEREF _Toc83388213 \h </w:instrText>
        </w:r>
        <w:r w:rsidR="00BE1F18">
          <w:rPr>
            <w:noProof/>
            <w:webHidden/>
          </w:rPr>
        </w:r>
        <w:r w:rsidR="00BE1F18">
          <w:rPr>
            <w:noProof/>
            <w:webHidden/>
          </w:rPr>
          <w:fldChar w:fldCharType="separate"/>
        </w:r>
        <w:r w:rsidR="00BE1F18">
          <w:rPr>
            <w:noProof/>
            <w:webHidden/>
          </w:rPr>
          <w:t>3</w:t>
        </w:r>
        <w:r w:rsidR="00BE1F18">
          <w:rPr>
            <w:noProof/>
            <w:webHidden/>
          </w:rPr>
          <w:fldChar w:fldCharType="end"/>
        </w:r>
      </w:hyperlink>
    </w:p>
    <w:p w14:paraId="59194DB4" w14:textId="08C0EF0E" w:rsidR="00BE1F18" w:rsidRDefault="00A316D5">
      <w:pPr>
        <w:pStyle w:val="TOC3"/>
        <w:rPr>
          <w:rFonts w:eastAsiaTheme="minorEastAsia"/>
          <w:b w:val="0"/>
          <w:smallCaps w:val="0"/>
          <w:sz w:val="22"/>
        </w:rPr>
      </w:pPr>
      <w:hyperlink w:anchor="_Toc83388214" w:history="1">
        <w:r w:rsidR="00BE1F18" w:rsidRPr="00CA0EB3">
          <w:rPr>
            <w:rStyle w:val="Hyperlink"/>
            <w:rFonts w:cstheme="minorHAnsi" w:hint="eastAsia"/>
            <w:lang w:eastAsia="en-US"/>
          </w:rPr>
          <w:t>澄清及更改摘要</w:t>
        </w:r>
        <w:r w:rsidR="00BE1F18">
          <w:rPr>
            <w:webHidden/>
          </w:rPr>
          <w:tab/>
        </w:r>
        <w:r w:rsidR="00BE1F18">
          <w:rPr>
            <w:webHidden/>
          </w:rPr>
          <w:fldChar w:fldCharType="begin"/>
        </w:r>
        <w:r w:rsidR="00BE1F18">
          <w:rPr>
            <w:webHidden/>
          </w:rPr>
          <w:instrText xml:space="preserve"> PAGEREF _Toc83388214 \h </w:instrText>
        </w:r>
        <w:r w:rsidR="00BE1F18">
          <w:rPr>
            <w:webHidden/>
          </w:rPr>
        </w:r>
        <w:r w:rsidR="00BE1F18">
          <w:rPr>
            <w:webHidden/>
          </w:rPr>
          <w:fldChar w:fldCharType="separate"/>
        </w:r>
        <w:r w:rsidR="00BE1F18">
          <w:rPr>
            <w:webHidden/>
          </w:rPr>
          <w:t>3</w:t>
        </w:r>
        <w:r w:rsidR="00BE1F18">
          <w:rPr>
            <w:webHidden/>
          </w:rPr>
          <w:fldChar w:fldCharType="end"/>
        </w:r>
      </w:hyperlink>
    </w:p>
    <w:p w14:paraId="3AC6DDD7" w14:textId="64CDC8B5" w:rsidR="00BE1F18" w:rsidRDefault="00A316D5">
      <w:pPr>
        <w:pStyle w:val="TOC1"/>
        <w:tabs>
          <w:tab w:val="right" w:leader="dot" w:pos="5030"/>
        </w:tabs>
        <w:rPr>
          <w:rFonts w:eastAsiaTheme="minorEastAsia"/>
          <w:b w:val="0"/>
          <w:caps w:val="0"/>
          <w:noProof/>
          <w:sz w:val="22"/>
        </w:rPr>
      </w:pPr>
      <w:hyperlink w:anchor="_Toc83388215" w:history="1">
        <w:r w:rsidR="00BE1F18" w:rsidRPr="00CA0EB3">
          <w:rPr>
            <w:rStyle w:val="Hyperlink"/>
            <w:rFonts w:hint="eastAsia"/>
            <w:noProof/>
          </w:rPr>
          <w:t>定义</w:t>
        </w:r>
        <w:r w:rsidR="00BE1F18">
          <w:rPr>
            <w:noProof/>
            <w:webHidden/>
          </w:rPr>
          <w:tab/>
        </w:r>
        <w:r w:rsidR="00BE1F18">
          <w:rPr>
            <w:noProof/>
            <w:webHidden/>
          </w:rPr>
          <w:fldChar w:fldCharType="begin"/>
        </w:r>
        <w:r w:rsidR="00BE1F18">
          <w:rPr>
            <w:noProof/>
            <w:webHidden/>
          </w:rPr>
          <w:instrText xml:space="preserve"> PAGEREF _Toc83388215 \h </w:instrText>
        </w:r>
        <w:r w:rsidR="00BE1F18">
          <w:rPr>
            <w:noProof/>
            <w:webHidden/>
          </w:rPr>
        </w:r>
        <w:r w:rsidR="00BE1F18">
          <w:rPr>
            <w:noProof/>
            <w:webHidden/>
          </w:rPr>
          <w:fldChar w:fldCharType="separate"/>
        </w:r>
        <w:r w:rsidR="00BE1F18">
          <w:rPr>
            <w:noProof/>
            <w:webHidden/>
          </w:rPr>
          <w:t>4</w:t>
        </w:r>
        <w:r w:rsidR="00BE1F18">
          <w:rPr>
            <w:noProof/>
            <w:webHidden/>
          </w:rPr>
          <w:fldChar w:fldCharType="end"/>
        </w:r>
      </w:hyperlink>
    </w:p>
    <w:p w14:paraId="7A3946B6" w14:textId="4011BA86" w:rsidR="00BE1F18" w:rsidRDefault="00A316D5">
      <w:pPr>
        <w:pStyle w:val="TOC1"/>
        <w:tabs>
          <w:tab w:val="right" w:leader="dot" w:pos="5030"/>
        </w:tabs>
        <w:rPr>
          <w:rFonts w:eastAsiaTheme="minorEastAsia"/>
          <w:b w:val="0"/>
          <w:caps w:val="0"/>
          <w:noProof/>
          <w:sz w:val="22"/>
        </w:rPr>
      </w:pPr>
      <w:hyperlink w:anchor="_Toc83388216" w:history="1">
        <w:r w:rsidR="00BE1F18" w:rsidRPr="00CA0EB3">
          <w:rPr>
            <w:rStyle w:val="Hyperlink"/>
            <w:rFonts w:hint="eastAsia"/>
            <w:noProof/>
          </w:rPr>
          <w:t>通用条款</w:t>
        </w:r>
        <w:r w:rsidR="00BE1F18">
          <w:rPr>
            <w:noProof/>
            <w:webHidden/>
          </w:rPr>
          <w:tab/>
        </w:r>
        <w:r w:rsidR="00BE1F18">
          <w:rPr>
            <w:noProof/>
            <w:webHidden/>
          </w:rPr>
          <w:fldChar w:fldCharType="begin"/>
        </w:r>
        <w:r w:rsidR="00BE1F18">
          <w:rPr>
            <w:noProof/>
            <w:webHidden/>
          </w:rPr>
          <w:instrText xml:space="preserve"> PAGEREF _Toc83388216 \h </w:instrText>
        </w:r>
        <w:r w:rsidR="00BE1F18">
          <w:rPr>
            <w:noProof/>
            <w:webHidden/>
          </w:rPr>
        </w:r>
        <w:r w:rsidR="00BE1F18">
          <w:rPr>
            <w:noProof/>
            <w:webHidden/>
          </w:rPr>
          <w:fldChar w:fldCharType="separate"/>
        </w:r>
        <w:r w:rsidR="00BE1F18">
          <w:rPr>
            <w:noProof/>
            <w:webHidden/>
          </w:rPr>
          <w:t>5</w:t>
        </w:r>
        <w:r w:rsidR="00BE1F18">
          <w:rPr>
            <w:noProof/>
            <w:webHidden/>
          </w:rPr>
          <w:fldChar w:fldCharType="end"/>
        </w:r>
      </w:hyperlink>
    </w:p>
    <w:p w14:paraId="025AAA82" w14:textId="6292EBE8" w:rsidR="00BE1F18" w:rsidRDefault="00A316D5">
      <w:pPr>
        <w:pStyle w:val="TOC5"/>
        <w:rPr>
          <w:rFonts w:eastAsiaTheme="minorEastAsia"/>
          <w:noProof/>
          <w:sz w:val="22"/>
        </w:rPr>
      </w:pPr>
      <w:hyperlink w:anchor="_Toc83388217" w:history="1">
        <w:r w:rsidR="00BE1F18" w:rsidRPr="00CA0EB3">
          <w:rPr>
            <w:rStyle w:val="Hyperlink"/>
            <w:rFonts w:hint="eastAsia"/>
            <w:noProof/>
          </w:rPr>
          <w:t>许可在线服务</w:t>
        </w:r>
        <w:r w:rsidR="00BE1F18">
          <w:rPr>
            <w:noProof/>
            <w:webHidden/>
          </w:rPr>
          <w:tab/>
        </w:r>
        <w:r w:rsidR="00BE1F18">
          <w:rPr>
            <w:noProof/>
            <w:webHidden/>
          </w:rPr>
          <w:fldChar w:fldCharType="begin"/>
        </w:r>
        <w:r w:rsidR="00BE1F18">
          <w:rPr>
            <w:noProof/>
            <w:webHidden/>
          </w:rPr>
          <w:instrText xml:space="preserve"> PAGEREF _Toc83388217 \h </w:instrText>
        </w:r>
        <w:r w:rsidR="00BE1F18">
          <w:rPr>
            <w:noProof/>
            <w:webHidden/>
          </w:rPr>
        </w:r>
        <w:r w:rsidR="00BE1F18">
          <w:rPr>
            <w:noProof/>
            <w:webHidden/>
          </w:rPr>
          <w:fldChar w:fldCharType="separate"/>
        </w:r>
        <w:r w:rsidR="00BE1F18">
          <w:rPr>
            <w:noProof/>
            <w:webHidden/>
          </w:rPr>
          <w:t>5</w:t>
        </w:r>
        <w:r w:rsidR="00BE1F18">
          <w:rPr>
            <w:noProof/>
            <w:webHidden/>
          </w:rPr>
          <w:fldChar w:fldCharType="end"/>
        </w:r>
      </w:hyperlink>
    </w:p>
    <w:p w14:paraId="6B4BF066" w14:textId="62A549DB" w:rsidR="00BE1F18" w:rsidRDefault="00A316D5">
      <w:pPr>
        <w:pStyle w:val="TOC5"/>
        <w:rPr>
          <w:rFonts w:eastAsiaTheme="minorEastAsia"/>
          <w:noProof/>
          <w:sz w:val="22"/>
        </w:rPr>
      </w:pPr>
      <w:hyperlink w:anchor="_Toc83388218" w:history="1">
        <w:r w:rsidR="00BE1F18" w:rsidRPr="00CA0EB3">
          <w:rPr>
            <w:rStyle w:val="Hyperlink"/>
            <w:rFonts w:hint="eastAsia"/>
            <w:noProof/>
          </w:rPr>
          <w:t>使用在线服务</w:t>
        </w:r>
        <w:r w:rsidR="00BE1F18">
          <w:rPr>
            <w:noProof/>
            <w:webHidden/>
          </w:rPr>
          <w:tab/>
        </w:r>
        <w:r w:rsidR="00BE1F18">
          <w:rPr>
            <w:noProof/>
            <w:webHidden/>
          </w:rPr>
          <w:fldChar w:fldCharType="begin"/>
        </w:r>
        <w:r w:rsidR="00BE1F18">
          <w:rPr>
            <w:noProof/>
            <w:webHidden/>
          </w:rPr>
          <w:instrText xml:space="preserve"> PAGEREF _Toc83388218 \h </w:instrText>
        </w:r>
        <w:r w:rsidR="00BE1F18">
          <w:rPr>
            <w:noProof/>
            <w:webHidden/>
          </w:rPr>
        </w:r>
        <w:r w:rsidR="00BE1F18">
          <w:rPr>
            <w:noProof/>
            <w:webHidden/>
          </w:rPr>
          <w:fldChar w:fldCharType="separate"/>
        </w:r>
        <w:r w:rsidR="00BE1F18">
          <w:rPr>
            <w:noProof/>
            <w:webHidden/>
          </w:rPr>
          <w:t>5</w:t>
        </w:r>
        <w:r w:rsidR="00BE1F18">
          <w:rPr>
            <w:noProof/>
            <w:webHidden/>
          </w:rPr>
          <w:fldChar w:fldCharType="end"/>
        </w:r>
      </w:hyperlink>
    </w:p>
    <w:p w14:paraId="5B527B95" w14:textId="7E2A020B" w:rsidR="00BE1F18" w:rsidRDefault="00A316D5">
      <w:pPr>
        <w:pStyle w:val="TOC5"/>
        <w:rPr>
          <w:rFonts w:eastAsiaTheme="minorEastAsia"/>
          <w:noProof/>
          <w:sz w:val="22"/>
        </w:rPr>
      </w:pPr>
      <w:hyperlink w:anchor="_Toc83388219" w:history="1">
        <w:r w:rsidR="00BE1F18" w:rsidRPr="00CA0EB3">
          <w:rPr>
            <w:rStyle w:val="Hyperlink"/>
            <w:rFonts w:hint="eastAsia"/>
            <w:noProof/>
          </w:rPr>
          <w:t>数据保护和安全</w:t>
        </w:r>
        <w:r w:rsidR="00BE1F18">
          <w:rPr>
            <w:noProof/>
            <w:webHidden/>
          </w:rPr>
          <w:tab/>
        </w:r>
        <w:r w:rsidR="00BE1F18">
          <w:rPr>
            <w:noProof/>
            <w:webHidden/>
          </w:rPr>
          <w:fldChar w:fldCharType="begin"/>
        </w:r>
        <w:r w:rsidR="00BE1F18">
          <w:rPr>
            <w:noProof/>
            <w:webHidden/>
          </w:rPr>
          <w:instrText xml:space="preserve"> PAGEREF _Toc83388219 \h </w:instrText>
        </w:r>
        <w:r w:rsidR="00BE1F18">
          <w:rPr>
            <w:noProof/>
            <w:webHidden/>
          </w:rPr>
        </w:r>
        <w:r w:rsidR="00BE1F18">
          <w:rPr>
            <w:noProof/>
            <w:webHidden/>
          </w:rPr>
          <w:fldChar w:fldCharType="separate"/>
        </w:r>
        <w:r w:rsidR="00BE1F18">
          <w:rPr>
            <w:noProof/>
            <w:webHidden/>
          </w:rPr>
          <w:t>5</w:t>
        </w:r>
        <w:r w:rsidR="00BE1F18">
          <w:rPr>
            <w:noProof/>
            <w:webHidden/>
          </w:rPr>
          <w:fldChar w:fldCharType="end"/>
        </w:r>
      </w:hyperlink>
    </w:p>
    <w:p w14:paraId="065BDDB9" w14:textId="76775888" w:rsidR="00BE1F18" w:rsidRDefault="00A316D5">
      <w:pPr>
        <w:pStyle w:val="TOC5"/>
        <w:rPr>
          <w:rFonts w:eastAsiaTheme="minorEastAsia"/>
          <w:noProof/>
          <w:sz w:val="22"/>
        </w:rPr>
      </w:pPr>
      <w:hyperlink w:anchor="_Toc83388220" w:history="1">
        <w:r w:rsidR="00BE1F18" w:rsidRPr="00CA0EB3">
          <w:rPr>
            <w:rStyle w:val="Hyperlink"/>
            <w:rFonts w:hint="eastAsia"/>
            <w:noProof/>
          </w:rPr>
          <w:t>在线服务中的软件使用</w:t>
        </w:r>
        <w:r w:rsidR="00BE1F18">
          <w:rPr>
            <w:noProof/>
            <w:webHidden/>
          </w:rPr>
          <w:tab/>
        </w:r>
        <w:r w:rsidR="00BE1F18">
          <w:rPr>
            <w:noProof/>
            <w:webHidden/>
          </w:rPr>
          <w:fldChar w:fldCharType="begin"/>
        </w:r>
        <w:r w:rsidR="00BE1F18">
          <w:rPr>
            <w:noProof/>
            <w:webHidden/>
          </w:rPr>
          <w:instrText xml:space="preserve"> PAGEREF _Toc83388220 \h </w:instrText>
        </w:r>
        <w:r w:rsidR="00BE1F18">
          <w:rPr>
            <w:noProof/>
            <w:webHidden/>
          </w:rPr>
        </w:r>
        <w:r w:rsidR="00BE1F18">
          <w:rPr>
            <w:noProof/>
            <w:webHidden/>
          </w:rPr>
          <w:fldChar w:fldCharType="separate"/>
        </w:r>
        <w:r w:rsidR="00BE1F18">
          <w:rPr>
            <w:noProof/>
            <w:webHidden/>
          </w:rPr>
          <w:t>6</w:t>
        </w:r>
        <w:r w:rsidR="00BE1F18">
          <w:rPr>
            <w:noProof/>
            <w:webHidden/>
          </w:rPr>
          <w:fldChar w:fldCharType="end"/>
        </w:r>
      </w:hyperlink>
    </w:p>
    <w:p w14:paraId="0D55A67A" w14:textId="5E224AC4" w:rsidR="00BE1F18" w:rsidRDefault="00A316D5">
      <w:pPr>
        <w:pStyle w:val="TOC5"/>
        <w:rPr>
          <w:rFonts w:eastAsiaTheme="minorEastAsia"/>
          <w:noProof/>
          <w:sz w:val="22"/>
        </w:rPr>
      </w:pPr>
      <w:hyperlink w:anchor="_Toc83388221" w:history="1">
        <w:r w:rsidR="00BE1F18" w:rsidRPr="00CA0EB3">
          <w:rPr>
            <w:rStyle w:val="Hyperlink"/>
            <w:rFonts w:hint="eastAsia"/>
            <w:noProof/>
          </w:rPr>
          <w:t>技术限制</w:t>
        </w:r>
        <w:r w:rsidR="00BE1F18">
          <w:rPr>
            <w:noProof/>
            <w:webHidden/>
          </w:rPr>
          <w:tab/>
        </w:r>
        <w:r w:rsidR="00BE1F18">
          <w:rPr>
            <w:noProof/>
            <w:webHidden/>
          </w:rPr>
          <w:fldChar w:fldCharType="begin"/>
        </w:r>
        <w:r w:rsidR="00BE1F18">
          <w:rPr>
            <w:noProof/>
            <w:webHidden/>
          </w:rPr>
          <w:instrText xml:space="preserve"> PAGEREF _Toc83388221 \h </w:instrText>
        </w:r>
        <w:r w:rsidR="00BE1F18">
          <w:rPr>
            <w:noProof/>
            <w:webHidden/>
          </w:rPr>
        </w:r>
        <w:r w:rsidR="00BE1F18">
          <w:rPr>
            <w:noProof/>
            <w:webHidden/>
          </w:rPr>
          <w:fldChar w:fldCharType="separate"/>
        </w:r>
        <w:r w:rsidR="00BE1F18">
          <w:rPr>
            <w:noProof/>
            <w:webHidden/>
          </w:rPr>
          <w:t>6</w:t>
        </w:r>
        <w:r w:rsidR="00BE1F18">
          <w:rPr>
            <w:noProof/>
            <w:webHidden/>
          </w:rPr>
          <w:fldChar w:fldCharType="end"/>
        </w:r>
      </w:hyperlink>
    </w:p>
    <w:p w14:paraId="29E04680" w14:textId="0936AFC5" w:rsidR="00BE1F18" w:rsidRDefault="00A316D5">
      <w:pPr>
        <w:pStyle w:val="TOC5"/>
        <w:rPr>
          <w:rFonts w:eastAsiaTheme="minorEastAsia"/>
          <w:noProof/>
          <w:sz w:val="22"/>
        </w:rPr>
      </w:pPr>
      <w:hyperlink w:anchor="_Toc83388222" w:history="1">
        <w:r w:rsidR="00BE1F18" w:rsidRPr="00CA0EB3">
          <w:rPr>
            <w:rStyle w:val="Hyperlink"/>
            <w:rFonts w:hint="eastAsia"/>
            <w:noProof/>
          </w:rPr>
          <w:t>导入</w:t>
        </w:r>
        <w:r w:rsidR="00BE1F18" w:rsidRPr="00CA0EB3">
          <w:rPr>
            <w:rStyle w:val="Hyperlink"/>
            <w:noProof/>
          </w:rPr>
          <w:t>/</w:t>
        </w:r>
        <w:r w:rsidR="00BE1F18" w:rsidRPr="00CA0EB3">
          <w:rPr>
            <w:rStyle w:val="Hyperlink"/>
            <w:rFonts w:hint="eastAsia"/>
            <w:noProof/>
          </w:rPr>
          <w:t>导出服务</w:t>
        </w:r>
        <w:r w:rsidR="00BE1F18">
          <w:rPr>
            <w:noProof/>
            <w:webHidden/>
          </w:rPr>
          <w:tab/>
        </w:r>
        <w:r w:rsidR="00BE1F18">
          <w:rPr>
            <w:noProof/>
            <w:webHidden/>
          </w:rPr>
          <w:fldChar w:fldCharType="begin"/>
        </w:r>
        <w:r w:rsidR="00BE1F18">
          <w:rPr>
            <w:noProof/>
            <w:webHidden/>
          </w:rPr>
          <w:instrText xml:space="preserve"> PAGEREF _Toc83388222 \h </w:instrText>
        </w:r>
        <w:r w:rsidR="00BE1F18">
          <w:rPr>
            <w:noProof/>
            <w:webHidden/>
          </w:rPr>
        </w:r>
        <w:r w:rsidR="00BE1F18">
          <w:rPr>
            <w:noProof/>
            <w:webHidden/>
          </w:rPr>
          <w:fldChar w:fldCharType="separate"/>
        </w:r>
        <w:r w:rsidR="00BE1F18">
          <w:rPr>
            <w:noProof/>
            <w:webHidden/>
          </w:rPr>
          <w:t>6</w:t>
        </w:r>
        <w:r w:rsidR="00BE1F18">
          <w:rPr>
            <w:noProof/>
            <w:webHidden/>
          </w:rPr>
          <w:fldChar w:fldCharType="end"/>
        </w:r>
      </w:hyperlink>
    </w:p>
    <w:p w14:paraId="1BFD6E79" w14:textId="15237950" w:rsidR="00BE1F18" w:rsidRDefault="00A316D5">
      <w:pPr>
        <w:pStyle w:val="TOC5"/>
        <w:rPr>
          <w:rFonts w:eastAsiaTheme="minorEastAsia"/>
          <w:noProof/>
          <w:sz w:val="22"/>
        </w:rPr>
      </w:pPr>
      <w:hyperlink w:anchor="_Toc83388223" w:history="1">
        <w:r w:rsidR="00BE1F18" w:rsidRPr="00CA0EB3">
          <w:rPr>
            <w:rStyle w:val="Hyperlink"/>
            <w:rFonts w:hint="eastAsia"/>
            <w:noProof/>
          </w:rPr>
          <w:t>字体组件</w:t>
        </w:r>
        <w:r w:rsidR="00BE1F18">
          <w:rPr>
            <w:noProof/>
            <w:webHidden/>
          </w:rPr>
          <w:tab/>
        </w:r>
        <w:r w:rsidR="00BE1F18">
          <w:rPr>
            <w:noProof/>
            <w:webHidden/>
          </w:rPr>
          <w:fldChar w:fldCharType="begin"/>
        </w:r>
        <w:r w:rsidR="00BE1F18">
          <w:rPr>
            <w:noProof/>
            <w:webHidden/>
          </w:rPr>
          <w:instrText xml:space="preserve"> PAGEREF _Toc83388223 \h </w:instrText>
        </w:r>
        <w:r w:rsidR="00BE1F18">
          <w:rPr>
            <w:noProof/>
            <w:webHidden/>
          </w:rPr>
        </w:r>
        <w:r w:rsidR="00BE1F18">
          <w:rPr>
            <w:noProof/>
            <w:webHidden/>
          </w:rPr>
          <w:fldChar w:fldCharType="separate"/>
        </w:r>
        <w:r w:rsidR="00BE1F18">
          <w:rPr>
            <w:noProof/>
            <w:webHidden/>
          </w:rPr>
          <w:t>6</w:t>
        </w:r>
        <w:r w:rsidR="00BE1F18">
          <w:rPr>
            <w:noProof/>
            <w:webHidden/>
          </w:rPr>
          <w:fldChar w:fldCharType="end"/>
        </w:r>
      </w:hyperlink>
    </w:p>
    <w:p w14:paraId="6483E6DB" w14:textId="2602B193" w:rsidR="00BE1F18" w:rsidRDefault="00A316D5">
      <w:pPr>
        <w:pStyle w:val="TOC5"/>
        <w:rPr>
          <w:rFonts w:eastAsiaTheme="minorEastAsia"/>
          <w:noProof/>
          <w:sz w:val="22"/>
        </w:rPr>
      </w:pPr>
      <w:hyperlink w:anchor="_Toc83388224" w:history="1">
        <w:r w:rsidR="00BE1F18" w:rsidRPr="00CA0EB3">
          <w:rPr>
            <w:rStyle w:val="Hyperlink"/>
            <w:rFonts w:hint="eastAsia"/>
            <w:noProof/>
          </w:rPr>
          <w:t>在线服务变更与可用性</w:t>
        </w:r>
        <w:r w:rsidR="00BE1F18">
          <w:rPr>
            <w:noProof/>
            <w:webHidden/>
          </w:rPr>
          <w:tab/>
        </w:r>
        <w:r w:rsidR="00BE1F18">
          <w:rPr>
            <w:noProof/>
            <w:webHidden/>
          </w:rPr>
          <w:fldChar w:fldCharType="begin"/>
        </w:r>
        <w:r w:rsidR="00BE1F18">
          <w:rPr>
            <w:noProof/>
            <w:webHidden/>
          </w:rPr>
          <w:instrText xml:space="preserve"> PAGEREF _Toc83388224 \h </w:instrText>
        </w:r>
        <w:r w:rsidR="00BE1F18">
          <w:rPr>
            <w:noProof/>
            <w:webHidden/>
          </w:rPr>
        </w:r>
        <w:r w:rsidR="00BE1F18">
          <w:rPr>
            <w:noProof/>
            <w:webHidden/>
          </w:rPr>
          <w:fldChar w:fldCharType="separate"/>
        </w:r>
        <w:r w:rsidR="00BE1F18">
          <w:rPr>
            <w:noProof/>
            <w:webHidden/>
          </w:rPr>
          <w:t>6</w:t>
        </w:r>
        <w:r w:rsidR="00BE1F18">
          <w:rPr>
            <w:noProof/>
            <w:webHidden/>
          </w:rPr>
          <w:fldChar w:fldCharType="end"/>
        </w:r>
      </w:hyperlink>
    </w:p>
    <w:p w14:paraId="333C43AA" w14:textId="1ABAD338" w:rsidR="00BE1F18" w:rsidRDefault="00A316D5">
      <w:pPr>
        <w:pStyle w:val="TOC5"/>
        <w:rPr>
          <w:rFonts w:eastAsiaTheme="minorEastAsia"/>
          <w:noProof/>
          <w:sz w:val="22"/>
        </w:rPr>
      </w:pPr>
      <w:hyperlink w:anchor="_Toc83388225" w:history="1">
        <w:r w:rsidR="00BE1F18" w:rsidRPr="00CA0EB3">
          <w:rPr>
            <w:rStyle w:val="Hyperlink"/>
            <w:rFonts w:hint="eastAsia"/>
            <w:noProof/>
          </w:rPr>
          <w:t>有关国家机密的声明和保证。</w:t>
        </w:r>
        <w:r w:rsidR="00BE1F18">
          <w:rPr>
            <w:noProof/>
            <w:webHidden/>
          </w:rPr>
          <w:tab/>
        </w:r>
        <w:r w:rsidR="00BE1F18">
          <w:rPr>
            <w:noProof/>
            <w:webHidden/>
          </w:rPr>
          <w:fldChar w:fldCharType="begin"/>
        </w:r>
        <w:r w:rsidR="00BE1F18">
          <w:rPr>
            <w:noProof/>
            <w:webHidden/>
          </w:rPr>
          <w:instrText xml:space="preserve"> PAGEREF _Toc83388225 \h </w:instrText>
        </w:r>
        <w:r w:rsidR="00BE1F18">
          <w:rPr>
            <w:noProof/>
            <w:webHidden/>
          </w:rPr>
        </w:r>
        <w:r w:rsidR="00BE1F18">
          <w:rPr>
            <w:noProof/>
            <w:webHidden/>
          </w:rPr>
          <w:fldChar w:fldCharType="separate"/>
        </w:r>
        <w:r w:rsidR="00BE1F18">
          <w:rPr>
            <w:noProof/>
            <w:webHidden/>
          </w:rPr>
          <w:t>6</w:t>
        </w:r>
        <w:r w:rsidR="00BE1F18">
          <w:rPr>
            <w:noProof/>
            <w:webHidden/>
          </w:rPr>
          <w:fldChar w:fldCharType="end"/>
        </w:r>
      </w:hyperlink>
    </w:p>
    <w:p w14:paraId="29FC9E03" w14:textId="25CAC6C1" w:rsidR="00BE1F18" w:rsidRDefault="00A316D5">
      <w:pPr>
        <w:pStyle w:val="TOC5"/>
        <w:rPr>
          <w:rFonts w:eastAsiaTheme="minorEastAsia"/>
          <w:noProof/>
          <w:sz w:val="22"/>
        </w:rPr>
      </w:pPr>
      <w:hyperlink w:anchor="_Toc83388226" w:history="1">
        <w:r w:rsidR="00BE1F18" w:rsidRPr="00CA0EB3">
          <w:rPr>
            <w:rStyle w:val="Hyperlink"/>
            <w:rFonts w:hint="eastAsia"/>
            <w:noProof/>
          </w:rPr>
          <w:t>遵守中国法律法规</w:t>
        </w:r>
        <w:r w:rsidR="00BE1F18">
          <w:rPr>
            <w:noProof/>
            <w:webHidden/>
          </w:rPr>
          <w:tab/>
        </w:r>
        <w:r w:rsidR="00BE1F18">
          <w:rPr>
            <w:noProof/>
            <w:webHidden/>
          </w:rPr>
          <w:fldChar w:fldCharType="begin"/>
        </w:r>
        <w:r w:rsidR="00BE1F18">
          <w:rPr>
            <w:noProof/>
            <w:webHidden/>
          </w:rPr>
          <w:instrText xml:space="preserve"> PAGEREF _Toc83388226 \h </w:instrText>
        </w:r>
        <w:r w:rsidR="00BE1F18">
          <w:rPr>
            <w:noProof/>
            <w:webHidden/>
          </w:rPr>
        </w:r>
        <w:r w:rsidR="00BE1F18">
          <w:rPr>
            <w:noProof/>
            <w:webHidden/>
          </w:rPr>
          <w:fldChar w:fldCharType="separate"/>
        </w:r>
        <w:r w:rsidR="00BE1F18">
          <w:rPr>
            <w:noProof/>
            <w:webHidden/>
          </w:rPr>
          <w:t>6</w:t>
        </w:r>
        <w:r w:rsidR="00BE1F18">
          <w:rPr>
            <w:noProof/>
            <w:webHidden/>
          </w:rPr>
          <w:fldChar w:fldCharType="end"/>
        </w:r>
      </w:hyperlink>
    </w:p>
    <w:p w14:paraId="5B4696FB" w14:textId="0E0FDE9C" w:rsidR="00BE1F18" w:rsidRDefault="00A316D5">
      <w:pPr>
        <w:pStyle w:val="TOC5"/>
        <w:rPr>
          <w:rFonts w:eastAsiaTheme="minorEastAsia"/>
          <w:noProof/>
          <w:sz w:val="22"/>
        </w:rPr>
      </w:pPr>
      <w:hyperlink w:anchor="_Toc83388227" w:history="1">
        <w:r w:rsidR="00BE1F18" w:rsidRPr="00CA0EB3">
          <w:rPr>
            <w:rStyle w:val="Hyperlink"/>
            <w:rFonts w:hint="eastAsia"/>
            <w:noProof/>
          </w:rPr>
          <w:t>其他</w:t>
        </w:r>
        <w:r w:rsidR="00BE1F18">
          <w:rPr>
            <w:noProof/>
            <w:webHidden/>
          </w:rPr>
          <w:tab/>
        </w:r>
        <w:r w:rsidR="00BE1F18">
          <w:rPr>
            <w:noProof/>
            <w:webHidden/>
          </w:rPr>
          <w:fldChar w:fldCharType="begin"/>
        </w:r>
        <w:r w:rsidR="00BE1F18">
          <w:rPr>
            <w:noProof/>
            <w:webHidden/>
          </w:rPr>
          <w:instrText xml:space="preserve"> PAGEREF _Toc83388227 \h </w:instrText>
        </w:r>
        <w:r w:rsidR="00BE1F18">
          <w:rPr>
            <w:noProof/>
            <w:webHidden/>
          </w:rPr>
        </w:r>
        <w:r w:rsidR="00BE1F18">
          <w:rPr>
            <w:noProof/>
            <w:webHidden/>
          </w:rPr>
          <w:fldChar w:fldCharType="separate"/>
        </w:r>
        <w:r w:rsidR="00BE1F18">
          <w:rPr>
            <w:noProof/>
            <w:webHidden/>
          </w:rPr>
          <w:t>7</w:t>
        </w:r>
        <w:r w:rsidR="00BE1F18">
          <w:rPr>
            <w:noProof/>
            <w:webHidden/>
          </w:rPr>
          <w:fldChar w:fldCharType="end"/>
        </w:r>
      </w:hyperlink>
    </w:p>
    <w:p w14:paraId="3E1AF65F" w14:textId="0A8C9DB1" w:rsidR="00BE1F18" w:rsidRDefault="00A316D5">
      <w:pPr>
        <w:pStyle w:val="TOC1"/>
        <w:tabs>
          <w:tab w:val="right" w:leader="dot" w:pos="5030"/>
        </w:tabs>
        <w:rPr>
          <w:rFonts w:eastAsiaTheme="minorEastAsia"/>
          <w:b w:val="0"/>
          <w:caps w:val="0"/>
          <w:noProof/>
          <w:sz w:val="22"/>
        </w:rPr>
      </w:pPr>
      <w:hyperlink w:anchor="_Toc83388228" w:history="1">
        <w:r w:rsidR="00BE1F18" w:rsidRPr="00CA0EB3">
          <w:rPr>
            <w:rStyle w:val="Hyperlink"/>
            <w:rFonts w:hint="eastAsia"/>
            <w:noProof/>
          </w:rPr>
          <w:t>特定在线服务的条款</w:t>
        </w:r>
        <w:r w:rsidR="00BE1F18">
          <w:rPr>
            <w:noProof/>
            <w:webHidden/>
          </w:rPr>
          <w:tab/>
        </w:r>
        <w:r w:rsidR="00BE1F18">
          <w:rPr>
            <w:noProof/>
            <w:webHidden/>
          </w:rPr>
          <w:fldChar w:fldCharType="begin"/>
        </w:r>
        <w:r w:rsidR="00BE1F18">
          <w:rPr>
            <w:noProof/>
            <w:webHidden/>
          </w:rPr>
          <w:instrText xml:space="preserve"> PAGEREF _Toc83388228 \h </w:instrText>
        </w:r>
        <w:r w:rsidR="00BE1F18">
          <w:rPr>
            <w:noProof/>
            <w:webHidden/>
          </w:rPr>
        </w:r>
        <w:r w:rsidR="00BE1F18">
          <w:rPr>
            <w:noProof/>
            <w:webHidden/>
          </w:rPr>
          <w:fldChar w:fldCharType="separate"/>
        </w:r>
        <w:r w:rsidR="00BE1F18">
          <w:rPr>
            <w:noProof/>
            <w:webHidden/>
          </w:rPr>
          <w:t>9</w:t>
        </w:r>
        <w:r w:rsidR="00BE1F18">
          <w:rPr>
            <w:noProof/>
            <w:webHidden/>
          </w:rPr>
          <w:fldChar w:fldCharType="end"/>
        </w:r>
      </w:hyperlink>
    </w:p>
    <w:p w14:paraId="2B6A7686" w14:textId="73204221" w:rsidR="00BE1F18" w:rsidRDefault="00A316D5">
      <w:pPr>
        <w:pStyle w:val="TOC2"/>
        <w:tabs>
          <w:tab w:val="right" w:leader="dot" w:pos="5030"/>
        </w:tabs>
        <w:rPr>
          <w:rFonts w:eastAsiaTheme="minorEastAsia"/>
          <w:b w:val="0"/>
          <w:smallCaps w:val="0"/>
          <w:noProof/>
          <w:sz w:val="22"/>
        </w:rPr>
      </w:pPr>
      <w:hyperlink w:anchor="_Toc83388229" w:history="1">
        <w:r w:rsidR="00BE1F18" w:rsidRPr="00CA0EB3">
          <w:rPr>
            <w:rStyle w:val="Hyperlink"/>
            <w:noProof/>
          </w:rPr>
          <w:t xml:space="preserve">Microsoft Azure </w:t>
        </w:r>
        <w:r w:rsidR="00BE1F18" w:rsidRPr="00CA0EB3">
          <w:rPr>
            <w:rStyle w:val="Hyperlink"/>
            <w:rFonts w:hint="eastAsia"/>
            <w:noProof/>
          </w:rPr>
          <w:t>服务</w:t>
        </w:r>
        <w:r w:rsidR="00BE1F18">
          <w:rPr>
            <w:noProof/>
            <w:webHidden/>
          </w:rPr>
          <w:tab/>
        </w:r>
        <w:r w:rsidR="00BE1F18">
          <w:rPr>
            <w:noProof/>
            <w:webHidden/>
          </w:rPr>
          <w:fldChar w:fldCharType="begin"/>
        </w:r>
        <w:r w:rsidR="00BE1F18">
          <w:rPr>
            <w:noProof/>
            <w:webHidden/>
          </w:rPr>
          <w:instrText xml:space="preserve"> PAGEREF _Toc83388229 \h </w:instrText>
        </w:r>
        <w:r w:rsidR="00BE1F18">
          <w:rPr>
            <w:noProof/>
            <w:webHidden/>
          </w:rPr>
        </w:r>
        <w:r w:rsidR="00BE1F18">
          <w:rPr>
            <w:noProof/>
            <w:webHidden/>
          </w:rPr>
          <w:fldChar w:fldCharType="separate"/>
        </w:r>
        <w:r w:rsidR="00BE1F18">
          <w:rPr>
            <w:noProof/>
            <w:webHidden/>
          </w:rPr>
          <w:t>9</w:t>
        </w:r>
        <w:r w:rsidR="00BE1F18">
          <w:rPr>
            <w:noProof/>
            <w:webHidden/>
          </w:rPr>
          <w:fldChar w:fldCharType="end"/>
        </w:r>
      </w:hyperlink>
    </w:p>
    <w:p w14:paraId="2E51CE9E" w14:textId="1E9F1539" w:rsidR="00BE1F18" w:rsidRDefault="00A316D5">
      <w:pPr>
        <w:pStyle w:val="TOC4"/>
        <w:rPr>
          <w:rFonts w:eastAsiaTheme="minorEastAsia"/>
          <w:smallCaps w:val="0"/>
          <w:noProof/>
          <w:sz w:val="22"/>
        </w:rPr>
      </w:pPr>
      <w:hyperlink w:anchor="_Toc83388230" w:history="1">
        <w:r w:rsidR="00BE1F18" w:rsidRPr="00CA0EB3">
          <w:rPr>
            <w:rStyle w:val="Hyperlink"/>
            <w:rFonts w:hint="eastAsia"/>
            <w:noProof/>
          </w:rPr>
          <w:t>世纪互联预付费计算实例</w:t>
        </w:r>
        <w:r w:rsidR="00BE1F18" w:rsidRPr="00CA0EB3">
          <w:rPr>
            <w:rStyle w:val="Hyperlink"/>
            <w:noProof/>
          </w:rPr>
          <w:t>(CPP)</w:t>
        </w:r>
        <w:r w:rsidR="00BE1F18">
          <w:rPr>
            <w:noProof/>
            <w:webHidden/>
          </w:rPr>
          <w:tab/>
        </w:r>
        <w:r w:rsidR="00BE1F18">
          <w:rPr>
            <w:noProof/>
            <w:webHidden/>
          </w:rPr>
          <w:fldChar w:fldCharType="begin"/>
        </w:r>
        <w:r w:rsidR="00BE1F18">
          <w:rPr>
            <w:noProof/>
            <w:webHidden/>
          </w:rPr>
          <w:instrText xml:space="preserve"> PAGEREF _Toc83388230 \h </w:instrText>
        </w:r>
        <w:r w:rsidR="00BE1F18">
          <w:rPr>
            <w:noProof/>
            <w:webHidden/>
          </w:rPr>
        </w:r>
        <w:r w:rsidR="00BE1F18">
          <w:rPr>
            <w:noProof/>
            <w:webHidden/>
          </w:rPr>
          <w:fldChar w:fldCharType="separate"/>
        </w:r>
        <w:r w:rsidR="00BE1F18">
          <w:rPr>
            <w:noProof/>
            <w:webHidden/>
          </w:rPr>
          <w:t>9</w:t>
        </w:r>
        <w:r w:rsidR="00BE1F18">
          <w:rPr>
            <w:noProof/>
            <w:webHidden/>
          </w:rPr>
          <w:fldChar w:fldCharType="end"/>
        </w:r>
      </w:hyperlink>
    </w:p>
    <w:p w14:paraId="1370585F" w14:textId="781291B5" w:rsidR="00BE1F18" w:rsidRDefault="00A316D5">
      <w:pPr>
        <w:pStyle w:val="TOC4"/>
        <w:rPr>
          <w:rFonts w:eastAsiaTheme="minorEastAsia"/>
          <w:smallCaps w:val="0"/>
          <w:noProof/>
          <w:sz w:val="22"/>
        </w:rPr>
      </w:pPr>
      <w:hyperlink w:anchor="_Toc83388231" w:history="1">
        <w:r w:rsidR="00BE1F18" w:rsidRPr="00CA0EB3">
          <w:rPr>
            <w:rStyle w:val="Hyperlink"/>
            <w:rFonts w:cstheme="majorHAnsi"/>
            <w:noProof/>
          </w:rPr>
          <w:t>Azure SQL Edge</w:t>
        </w:r>
        <w:r w:rsidR="00BE1F18">
          <w:rPr>
            <w:noProof/>
            <w:webHidden/>
          </w:rPr>
          <w:tab/>
        </w:r>
        <w:r w:rsidR="00BE1F18">
          <w:rPr>
            <w:noProof/>
            <w:webHidden/>
          </w:rPr>
          <w:fldChar w:fldCharType="begin"/>
        </w:r>
        <w:r w:rsidR="00BE1F18">
          <w:rPr>
            <w:noProof/>
            <w:webHidden/>
          </w:rPr>
          <w:instrText xml:space="preserve"> PAGEREF _Toc83388231 \h </w:instrText>
        </w:r>
        <w:r w:rsidR="00BE1F18">
          <w:rPr>
            <w:noProof/>
            <w:webHidden/>
          </w:rPr>
        </w:r>
        <w:r w:rsidR="00BE1F18">
          <w:rPr>
            <w:noProof/>
            <w:webHidden/>
          </w:rPr>
          <w:fldChar w:fldCharType="separate"/>
        </w:r>
        <w:r w:rsidR="00BE1F18">
          <w:rPr>
            <w:noProof/>
            <w:webHidden/>
          </w:rPr>
          <w:t>10</w:t>
        </w:r>
        <w:r w:rsidR="00BE1F18">
          <w:rPr>
            <w:noProof/>
            <w:webHidden/>
          </w:rPr>
          <w:fldChar w:fldCharType="end"/>
        </w:r>
      </w:hyperlink>
    </w:p>
    <w:p w14:paraId="57FAE73D" w14:textId="46980113" w:rsidR="00BE1F18" w:rsidRDefault="00A316D5">
      <w:pPr>
        <w:pStyle w:val="TOC4"/>
        <w:rPr>
          <w:rFonts w:eastAsiaTheme="minorEastAsia"/>
          <w:smallCaps w:val="0"/>
          <w:noProof/>
          <w:sz w:val="22"/>
        </w:rPr>
      </w:pPr>
      <w:hyperlink w:anchor="_Toc83388232" w:history="1">
        <w:r w:rsidR="00BE1F18" w:rsidRPr="00CA0EB3">
          <w:rPr>
            <w:rStyle w:val="Hyperlink"/>
            <w:rFonts w:cstheme="majorHAnsi"/>
            <w:noProof/>
          </w:rPr>
          <w:t>Azure Stack HCI</w:t>
        </w:r>
        <w:r w:rsidR="00BE1F18">
          <w:rPr>
            <w:noProof/>
            <w:webHidden/>
          </w:rPr>
          <w:tab/>
        </w:r>
        <w:r w:rsidR="00BE1F18">
          <w:rPr>
            <w:noProof/>
            <w:webHidden/>
          </w:rPr>
          <w:fldChar w:fldCharType="begin"/>
        </w:r>
        <w:r w:rsidR="00BE1F18">
          <w:rPr>
            <w:noProof/>
            <w:webHidden/>
          </w:rPr>
          <w:instrText xml:space="preserve"> PAGEREF _Toc83388232 \h </w:instrText>
        </w:r>
        <w:r w:rsidR="00BE1F18">
          <w:rPr>
            <w:noProof/>
            <w:webHidden/>
          </w:rPr>
        </w:r>
        <w:r w:rsidR="00BE1F18">
          <w:rPr>
            <w:noProof/>
            <w:webHidden/>
          </w:rPr>
          <w:fldChar w:fldCharType="separate"/>
        </w:r>
        <w:r w:rsidR="00BE1F18">
          <w:rPr>
            <w:noProof/>
            <w:webHidden/>
          </w:rPr>
          <w:t>10</w:t>
        </w:r>
        <w:r w:rsidR="00BE1F18">
          <w:rPr>
            <w:noProof/>
            <w:webHidden/>
          </w:rPr>
          <w:fldChar w:fldCharType="end"/>
        </w:r>
      </w:hyperlink>
    </w:p>
    <w:p w14:paraId="4F85E7E0" w14:textId="57066977" w:rsidR="00BE1F18" w:rsidRDefault="00A316D5">
      <w:pPr>
        <w:pStyle w:val="TOC4"/>
        <w:rPr>
          <w:rFonts w:eastAsiaTheme="minorEastAsia"/>
          <w:smallCaps w:val="0"/>
          <w:noProof/>
          <w:sz w:val="22"/>
        </w:rPr>
      </w:pPr>
      <w:hyperlink w:anchor="_Toc83388233" w:history="1">
        <w:r w:rsidR="00BE1F18" w:rsidRPr="00CA0EB3">
          <w:rPr>
            <w:rStyle w:val="Hyperlink"/>
            <w:noProof/>
          </w:rPr>
          <w:t>Azure Stack Hub</w:t>
        </w:r>
        <w:r w:rsidR="00BE1F18">
          <w:rPr>
            <w:noProof/>
            <w:webHidden/>
          </w:rPr>
          <w:tab/>
        </w:r>
        <w:r w:rsidR="00BE1F18">
          <w:rPr>
            <w:noProof/>
            <w:webHidden/>
          </w:rPr>
          <w:fldChar w:fldCharType="begin"/>
        </w:r>
        <w:r w:rsidR="00BE1F18">
          <w:rPr>
            <w:noProof/>
            <w:webHidden/>
          </w:rPr>
          <w:instrText xml:space="preserve"> PAGEREF _Toc83388233 \h </w:instrText>
        </w:r>
        <w:r w:rsidR="00BE1F18">
          <w:rPr>
            <w:noProof/>
            <w:webHidden/>
          </w:rPr>
        </w:r>
        <w:r w:rsidR="00BE1F18">
          <w:rPr>
            <w:noProof/>
            <w:webHidden/>
          </w:rPr>
          <w:fldChar w:fldCharType="separate"/>
        </w:r>
        <w:r w:rsidR="00BE1F18">
          <w:rPr>
            <w:noProof/>
            <w:webHidden/>
          </w:rPr>
          <w:t>10</w:t>
        </w:r>
        <w:r w:rsidR="00BE1F18">
          <w:rPr>
            <w:noProof/>
            <w:webHidden/>
          </w:rPr>
          <w:fldChar w:fldCharType="end"/>
        </w:r>
      </w:hyperlink>
    </w:p>
    <w:p w14:paraId="5F1D589C" w14:textId="141AC4E2" w:rsidR="00BE1F18" w:rsidRDefault="00A316D5">
      <w:pPr>
        <w:pStyle w:val="TOC4"/>
        <w:rPr>
          <w:rFonts w:eastAsiaTheme="minorEastAsia"/>
          <w:smallCaps w:val="0"/>
          <w:noProof/>
          <w:sz w:val="22"/>
        </w:rPr>
      </w:pPr>
      <w:hyperlink w:anchor="_Toc83388234" w:history="1">
        <w:r w:rsidR="00BE1F18" w:rsidRPr="00CA0EB3">
          <w:rPr>
            <w:rStyle w:val="Hyperlink"/>
            <w:rFonts w:hint="eastAsia"/>
            <w:noProof/>
          </w:rPr>
          <w:t>认知服务和应用</w:t>
        </w:r>
        <w:r w:rsidR="00BE1F18" w:rsidRPr="00CA0EB3">
          <w:rPr>
            <w:rStyle w:val="Hyperlink"/>
            <w:noProof/>
          </w:rPr>
          <w:t>AI</w:t>
        </w:r>
        <w:r w:rsidR="00BE1F18" w:rsidRPr="00CA0EB3">
          <w:rPr>
            <w:rStyle w:val="Hyperlink"/>
            <w:rFonts w:hint="eastAsia"/>
            <w:noProof/>
          </w:rPr>
          <w:t>服务</w:t>
        </w:r>
        <w:r w:rsidR="00BE1F18">
          <w:rPr>
            <w:noProof/>
            <w:webHidden/>
          </w:rPr>
          <w:tab/>
        </w:r>
        <w:r w:rsidR="00BE1F18">
          <w:rPr>
            <w:noProof/>
            <w:webHidden/>
          </w:rPr>
          <w:fldChar w:fldCharType="begin"/>
        </w:r>
        <w:r w:rsidR="00BE1F18">
          <w:rPr>
            <w:noProof/>
            <w:webHidden/>
          </w:rPr>
          <w:instrText xml:space="preserve"> PAGEREF _Toc83388234 \h </w:instrText>
        </w:r>
        <w:r w:rsidR="00BE1F18">
          <w:rPr>
            <w:noProof/>
            <w:webHidden/>
          </w:rPr>
        </w:r>
        <w:r w:rsidR="00BE1F18">
          <w:rPr>
            <w:noProof/>
            <w:webHidden/>
          </w:rPr>
          <w:fldChar w:fldCharType="separate"/>
        </w:r>
        <w:r w:rsidR="00BE1F18">
          <w:rPr>
            <w:noProof/>
            <w:webHidden/>
          </w:rPr>
          <w:t>11</w:t>
        </w:r>
        <w:r w:rsidR="00BE1F18">
          <w:rPr>
            <w:noProof/>
            <w:webHidden/>
          </w:rPr>
          <w:fldChar w:fldCharType="end"/>
        </w:r>
      </w:hyperlink>
    </w:p>
    <w:p w14:paraId="03DD4985" w14:textId="43EEEFD8" w:rsidR="00BE1F18" w:rsidRDefault="00A316D5">
      <w:pPr>
        <w:pStyle w:val="TOC2"/>
        <w:tabs>
          <w:tab w:val="right" w:leader="dot" w:pos="5030"/>
        </w:tabs>
        <w:rPr>
          <w:rFonts w:eastAsiaTheme="minorEastAsia"/>
          <w:b w:val="0"/>
          <w:smallCaps w:val="0"/>
          <w:noProof/>
          <w:sz w:val="22"/>
        </w:rPr>
      </w:pPr>
      <w:hyperlink w:anchor="_Toc83388235" w:history="1">
        <w:r w:rsidR="00BE1F18" w:rsidRPr="00CA0EB3">
          <w:rPr>
            <w:rStyle w:val="Hyperlink"/>
            <w:noProof/>
          </w:rPr>
          <w:t xml:space="preserve">Microsoft Azure </w:t>
        </w:r>
        <w:r w:rsidR="00BE1F18" w:rsidRPr="00CA0EB3">
          <w:rPr>
            <w:rStyle w:val="Hyperlink"/>
            <w:rFonts w:hint="eastAsia"/>
            <w:noProof/>
          </w:rPr>
          <w:t>计划</w:t>
        </w:r>
        <w:r w:rsidR="00BE1F18">
          <w:rPr>
            <w:noProof/>
            <w:webHidden/>
          </w:rPr>
          <w:tab/>
        </w:r>
        <w:r w:rsidR="00BE1F18">
          <w:rPr>
            <w:noProof/>
            <w:webHidden/>
          </w:rPr>
          <w:fldChar w:fldCharType="begin"/>
        </w:r>
        <w:r w:rsidR="00BE1F18">
          <w:rPr>
            <w:noProof/>
            <w:webHidden/>
          </w:rPr>
          <w:instrText xml:space="preserve"> PAGEREF _Toc83388235 \h </w:instrText>
        </w:r>
        <w:r w:rsidR="00BE1F18">
          <w:rPr>
            <w:noProof/>
            <w:webHidden/>
          </w:rPr>
        </w:r>
        <w:r w:rsidR="00BE1F18">
          <w:rPr>
            <w:noProof/>
            <w:webHidden/>
          </w:rPr>
          <w:fldChar w:fldCharType="separate"/>
        </w:r>
        <w:r w:rsidR="00BE1F18">
          <w:rPr>
            <w:noProof/>
            <w:webHidden/>
          </w:rPr>
          <w:t>11</w:t>
        </w:r>
        <w:r w:rsidR="00BE1F18">
          <w:rPr>
            <w:noProof/>
            <w:webHidden/>
          </w:rPr>
          <w:fldChar w:fldCharType="end"/>
        </w:r>
      </w:hyperlink>
    </w:p>
    <w:p w14:paraId="5B5A158F" w14:textId="0C7F627D" w:rsidR="00BE1F18" w:rsidRDefault="00A316D5">
      <w:pPr>
        <w:pStyle w:val="TOC4"/>
        <w:rPr>
          <w:rFonts w:eastAsiaTheme="minorEastAsia"/>
          <w:smallCaps w:val="0"/>
          <w:noProof/>
          <w:sz w:val="22"/>
        </w:rPr>
      </w:pPr>
      <w:hyperlink w:anchor="_Toc83388236" w:history="1">
        <w:r w:rsidR="00BE1F18" w:rsidRPr="00CA0EB3">
          <w:rPr>
            <w:rStyle w:val="Hyperlink"/>
            <w:noProof/>
          </w:rPr>
          <w:t>Azure Active Directory Basic</w:t>
        </w:r>
        <w:r w:rsidR="00BE1F18">
          <w:rPr>
            <w:noProof/>
            <w:webHidden/>
          </w:rPr>
          <w:tab/>
        </w:r>
        <w:r w:rsidR="00BE1F18">
          <w:rPr>
            <w:noProof/>
            <w:webHidden/>
          </w:rPr>
          <w:fldChar w:fldCharType="begin"/>
        </w:r>
        <w:r w:rsidR="00BE1F18">
          <w:rPr>
            <w:noProof/>
            <w:webHidden/>
          </w:rPr>
          <w:instrText xml:space="preserve"> PAGEREF _Toc83388236 \h </w:instrText>
        </w:r>
        <w:r w:rsidR="00BE1F18">
          <w:rPr>
            <w:noProof/>
            <w:webHidden/>
          </w:rPr>
        </w:r>
        <w:r w:rsidR="00BE1F18">
          <w:rPr>
            <w:noProof/>
            <w:webHidden/>
          </w:rPr>
          <w:fldChar w:fldCharType="separate"/>
        </w:r>
        <w:r w:rsidR="00BE1F18">
          <w:rPr>
            <w:noProof/>
            <w:webHidden/>
          </w:rPr>
          <w:t>11</w:t>
        </w:r>
        <w:r w:rsidR="00BE1F18">
          <w:rPr>
            <w:noProof/>
            <w:webHidden/>
          </w:rPr>
          <w:fldChar w:fldCharType="end"/>
        </w:r>
      </w:hyperlink>
    </w:p>
    <w:p w14:paraId="29F9E92A" w14:textId="46035B2C" w:rsidR="00BE1F18" w:rsidRDefault="00A316D5">
      <w:pPr>
        <w:pStyle w:val="TOC4"/>
        <w:rPr>
          <w:rFonts w:eastAsiaTheme="minorEastAsia"/>
          <w:smallCaps w:val="0"/>
          <w:noProof/>
          <w:sz w:val="22"/>
        </w:rPr>
      </w:pPr>
      <w:hyperlink w:anchor="_Toc83388237" w:history="1">
        <w:r w:rsidR="00BE1F18" w:rsidRPr="00CA0EB3">
          <w:rPr>
            <w:rStyle w:val="Hyperlink"/>
            <w:noProof/>
          </w:rPr>
          <w:t>Azure Active Directory Premium</w:t>
        </w:r>
        <w:r w:rsidR="00BE1F18">
          <w:rPr>
            <w:noProof/>
            <w:webHidden/>
          </w:rPr>
          <w:tab/>
        </w:r>
        <w:r w:rsidR="00BE1F18">
          <w:rPr>
            <w:noProof/>
            <w:webHidden/>
          </w:rPr>
          <w:fldChar w:fldCharType="begin"/>
        </w:r>
        <w:r w:rsidR="00BE1F18">
          <w:rPr>
            <w:noProof/>
            <w:webHidden/>
          </w:rPr>
          <w:instrText xml:space="preserve"> PAGEREF _Toc83388237 \h </w:instrText>
        </w:r>
        <w:r w:rsidR="00BE1F18">
          <w:rPr>
            <w:noProof/>
            <w:webHidden/>
          </w:rPr>
        </w:r>
        <w:r w:rsidR="00BE1F18">
          <w:rPr>
            <w:noProof/>
            <w:webHidden/>
          </w:rPr>
          <w:fldChar w:fldCharType="separate"/>
        </w:r>
        <w:r w:rsidR="00BE1F18">
          <w:rPr>
            <w:noProof/>
            <w:webHidden/>
          </w:rPr>
          <w:t>12</w:t>
        </w:r>
        <w:r w:rsidR="00BE1F18">
          <w:rPr>
            <w:noProof/>
            <w:webHidden/>
          </w:rPr>
          <w:fldChar w:fldCharType="end"/>
        </w:r>
      </w:hyperlink>
    </w:p>
    <w:p w14:paraId="7372BE68" w14:textId="5A688D12" w:rsidR="00BE1F18" w:rsidRDefault="00A316D5">
      <w:pPr>
        <w:pStyle w:val="TOC2"/>
        <w:tabs>
          <w:tab w:val="right" w:leader="dot" w:pos="5030"/>
        </w:tabs>
        <w:rPr>
          <w:rFonts w:eastAsiaTheme="minorEastAsia"/>
          <w:b w:val="0"/>
          <w:smallCaps w:val="0"/>
          <w:noProof/>
          <w:sz w:val="22"/>
        </w:rPr>
      </w:pPr>
      <w:hyperlink w:anchor="_Toc83388238" w:history="1">
        <w:r w:rsidR="00BE1F18" w:rsidRPr="00CA0EB3">
          <w:rPr>
            <w:rStyle w:val="Hyperlink"/>
            <w:noProof/>
          </w:rPr>
          <w:t xml:space="preserve">Microsoft Dynamics 365 </w:t>
        </w:r>
        <w:r w:rsidR="00BE1F18" w:rsidRPr="00CA0EB3">
          <w:rPr>
            <w:rStyle w:val="Hyperlink"/>
            <w:rFonts w:hint="eastAsia"/>
            <w:noProof/>
          </w:rPr>
          <w:t>服务</w:t>
        </w:r>
        <w:r w:rsidR="00BE1F18">
          <w:rPr>
            <w:noProof/>
            <w:webHidden/>
          </w:rPr>
          <w:tab/>
        </w:r>
        <w:r w:rsidR="00BE1F18">
          <w:rPr>
            <w:noProof/>
            <w:webHidden/>
          </w:rPr>
          <w:fldChar w:fldCharType="begin"/>
        </w:r>
        <w:r w:rsidR="00BE1F18">
          <w:rPr>
            <w:noProof/>
            <w:webHidden/>
          </w:rPr>
          <w:instrText xml:space="preserve"> PAGEREF _Toc83388238 \h </w:instrText>
        </w:r>
        <w:r w:rsidR="00BE1F18">
          <w:rPr>
            <w:noProof/>
            <w:webHidden/>
          </w:rPr>
        </w:r>
        <w:r w:rsidR="00BE1F18">
          <w:rPr>
            <w:noProof/>
            <w:webHidden/>
          </w:rPr>
          <w:fldChar w:fldCharType="separate"/>
        </w:r>
        <w:r w:rsidR="00BE1F18">
          <w:rPr>
            <w:noProof/>
            <w:webHidden/>
          </w:rPr>
          <w:t>12</w:t>
        </w:r>
        <w:r w:rsidR="00BE1F18">
          <w:rPr>
            <w:noProof/>
            <w:webHidden/>
          </w:rPr>
          <w:fldChar w:fldCharType="end"/>
        </w:r>
      </w:hyperlink>
    </w:p>
    <w:p w14:paraId="13FF86EF" w14:textId="658D97FC" w:rsidR="00BE1F18" w:rsidRDefault="00A316D5">
      <w:pPr>
        <w:pStyle w:val="TOC2"/>
        <w:tabs>
          <w:tab w:val="right" w:leader="dot" w:pos="5030"/>
        </w:tabs>
        <w:rPr>
          <w:rFonts w:eastAsiaTheme="minorEastAsia"/>
          <w:b w:val="0"/>
          <w:smallCaps w:val="0"/>
          <w:noProof/>
          <w:sz w:val="22"/>
        </w:rPr>
      </w:pPr>
      <w:hyperlink w:anchor="_Toc83388239" w:history="1">
        <w:r w:rsidR="00BE1F18" w:rsidRPr="00CA0EB3">
          <w:rPr>
            <w:rStyle w:val="Hyperlink"/>
            <w:noProof/>
          </w:rPr>
          <w:t xml:space="preserve">Office 365 </w:t>
        </w:r>
        <w:r w:rsidR="00BE1F18" w:rsidRPr="00CA0EB3">
          <w:rPr>
            <w:rStyle w:val="Hyperlink"/>
            <w:rFonts w:hint="eastAsia"/>
            <w:noProof/>
          </w:rPr>
          <w:t>服务</w:t>
        </w:r>
        <w:r w:rsidR="00BE1F18">
          <w:rPr>
            <w:noProof/>
            <w:webHidden/>
          </w:rPr>
          <w:tab/>
        </w:r>
        <w:r w:rsidR="00BE1F18">
          <w:rPr>
            <w:noProof/>
            <w:webHidden/>
          </w:rPr>
          <w:fldChar w:fldCharType="begin"/>
        </w:r>
        <w:r w:rsidR="00BE1F18">
          <w:rPr>
            <w:noProof/>
            <w:webHidden/>
          </w:rPr>
          <w:instrText xml:space="preserve"> PAGEREF _Toc83388239 \h </w:instrText>
        </w:r>
        <w:r w:rsidR="00BE1F18">
          <w:rPr>
            <w:noProof/>
            <w:webHidden/>
          </w:rPr>
        </w:r>
        <w:r w:rsidR="00BE1F18">
          <w:rPr>
            <w:noProof/>
            <w:webHidden/>
          </w:rPr>
          <w:fldChar w:fldCharType="separate"/>
        </w:r>
        <w:r w:rsidR="00BE1F18">
          <w:rPr>
            <w:noProof/>
            <w:webHidden/>
          </w:rPr>
          <w:t>13</w:t>
        </w:r>
        <w:r w:rsidR="00BE1F18">
          <w:rPr>
            <w:noProof/>
            <w:webHidden/>
          </w:rPr>
          <w:fldChar w:fldCharType="end"/>
        </w:r>
      </w:hyperlink>
    </w:p>
    <w:p w14:paraId="4CE828B5" w14:textId="70BC1153" w:rsidR="00BE1F18" w:rsidRDefault="00A316D5">
      <w:pPr>
        <w:pStyle w:val="TOC4"/>
        <w:rPr>
          <w:rFonts w:eastAsiaTheme="minorEastAsia"/>
          <w:smallCaps w:val="0"/>
          <w:noProof/>
          <w:sz w:val="22"/>
        </w:rPr>
      </w:pPr>
      <w:hyperlink w:anchor="_Toc83388240" w:history="1">
        <w:r w:rsidR="00BE1F18" w:rsidRPr="00CA0EB3">
          <w:rPr>
            <w:rStyle w:val="Hyperlink"/>
            <w:noProof/>
          </w:rPr>
          <w:t>Exchange Online</w:t>
        </w:r>
        <w:r w:rsidR="00BE1F18">
          <w:rPr>
            <w:noProof/>
            <w:webHidden/>
          </w:rPr>
          <w:tab/>
        </w:r>
        <w:r w:rsidR="00BE1F18">
          <w:rPr>
            <w:noProof/>
            <w:webHidden/>
          </w:rPr>
          <w:fldChar w:fldCharType="begin"/>
        </w:r>
        <w:r w:rsidR="00BE1F18">
          <w:rPr>
            <w:noProof/>
            <w:webHidden/>
          </w:rPr>
          <w:instrText xml:space="preserve"> PAGEREF _Toc83388240 \h </w:instrText>
        </w:r>
        <w:r w:rsidR="00BE1F18">
          <w:rPr>
            <w:noProof/>
            <w:webHidden/>
          </w:rPr>
        </w:r>
        <w:r w:rsidR="00BE1F18">
          <w:rPr>
            <w:noProof/>
            <w:webHidden/>
          </w:rPr>
          <w:fldChar w:fldCharType="separate"/>
        </w:r>
        <w:r w:rsidR="00BE1F18">
          <w:rPr>
            <w:noProof/>
            <w:webHidden/>
          </w:rPr>
          <w:t>13</w:t>
        </w:r>
        <w:r w:rsidR="00BE1F18">
          <w:rPr>
            <w:noProof/>
            <w:webHidden/>
          </w:rPr>
          <w:fldChar w:fldCharType="end"/>
        </w:r>
      </w:hyperlink>
    </w:p>
    <w:p w14:paraId="016E9634" w14:textId="73BD5130" w:rsidR="00BE1F18" w:rsidRDefault="00A316D5">
      <w:pPr>
        <w:pStyle w:val="TOC4"/>
        <w:rPr>
          <w:rFonts w:eastAsiaTheme="minorEastAsia"/>
          <w:smallCaps w:val="0"/>
          <w:noProof/>
          <w:sz w:val="22"/>
        </w:rPr>
      </w:pPr>
      <w:hyperlink w:anchor="_Toc83388241" w:history="1">
        <w:r w:rsidR="00BE1F18" w:rsidRPr="00CA0EB3">
          <w:rPr>
            <w:rStyle w:val="Hyperlink"/>
            <w:noProof/>
          </w:rPr>
          <w:t xml:space="preserve">Microsoft 365 </w:t>
        </w:r>
        <w:r w:rsidR="00BE1F18" w:rsidRPr="00CA0EB3">
          <w:rPr>
            <w:rStyle w:val="Hyperlink"/>
            <w:rFonts w:hint="eastAsia"/>
            <w:noProof/>
          </w:rPr>
          <w:t>应用程序</w:t>
        </w:r>
        <w:r w:rsidR="00BE1F18">
          <w:rPr>
            <w:noProof/>
            <w:webHidden/>
          </w:rPr>
          <w:tab/>
        </w:r>
        <w:r w:rsidR="00BE1F18">
          <w:rPr>
            <w:noProof/>
            <w:webHidden/>
          </w:rPr>
          <w:fldChar w:fldCharType="begin"/>
        </w:r>
        <w:r w:rsidR="00BE1F18">
          <w:rPr>
            <w:noProof/>
            <w:webHidden/>
          </w:rPr>
          <w:instrText xml:space="preserve"> PAGEREF _Toc83388241 \h </w:instrText>
        </w:r>
        <w:r w:rsidR="00BE1F18">
          <w:rPr>
            <w:noProof/>
            <w:webHidden/>
          </w:rPr>
        </w:r>
        <w:r w:rsidR="00BE1F18">
          <w:rPr>
            <w:noProof/>
            <w:webHidden/>
          </w:rPr>
          <w:fldChar w:fldCharType="separate"/>
        </w:r>
        <w:r w:rsidR="00BE1F18">
          <w:rPr>
            <w:noProof/>
            <w:webHidden/>
          </w:rPr>
          <w:t>14</w:t>
        </w:r>
        <w:r w:rsidR="00BE1F18">
          <w:rPr>
            <w:noProof/>
            <w:webHidden/>
          </w:rPr>
          <w:fldChar w:fldCharType="end"/>
        </w:r>
      </w:hyperlink>
    </w:p>
    <w:p w14:paraId="0A84F254" w14:textId="4F5CFFE6" w:rsidR="00BE1F18" w:rsidRDefault="00A316D5">
      <w:pPr>
        <w:pStyle w:val="TOC4"/>
        <w:rPr>
          <w:rFonts w:eastAsiaTheme="minorEastAsia"/>
          <w:smallCaps w:val="0"/>
          <w:noProof/>
          <w:sz w:val="22"/>
        </w:rPr>
      </w:pPr>
      <w:hyperlink w:anchor="_Toc83388242" w:history="1">
        <w:r w:rsidR="00BE1F18" w:rsidRPr="00CA0EB3">
          <w:rPr>
            <w:rStyle w:val="Hyperlink"/>
            <w:noProof/>
          </w:rPr>
          <w:t>Office for the web</w:t>
        </w:r>
        <w:r w:rsidR="00BE1F18">
          <w:rPr>
            <w:noProof/>
            <w:webHidden/>
          </w:rPr>
          <w:tab/>
        </w:r>
        <w:r w:rsidR="00BE1F18">
          <w:rPr>
            <w:noProof/>
            <w:webHidden/>
          </w:rPr>
          <w:fldChar w:fldCharType="begin"/>
        </w:r>
        <w:r w:rsidR="00BE1F18">
          <w:rPr>
            <w:noProof/>
            <w:webHidden/>
          </w:rPr>
          <w:instrText xml:space="preserve"> PAGEREF _Toc83388242 \h </w:instrText>
        </w:r>
        <w:r w:rsidR="00BE1F18">
          <w:rPr>
            <w:noProof/>
            <w:webHidden/>
          </w:rPr>
        </w:r>
        <w:r w:rsidR="00BE1F18">
          <w:rPr>
            <w:noProof/>
            <w:webHidden/>
          </w:rPr>
          <w:fldChar w:fldCharType="separate"/>
        </w:r>
        <w:r w:rsidR="00BE1F18">
          <w:rPr>
            <w:noProof/>
            <w:webHidden/>
          </w:rPr>
          <w:t>15</w:t>
        </w:r>
        <w:r w:rsidR="00BE1F18">
          <w:rPr>
            <w:noProof/>
            <w:webHidden/>
          </w:rPr>
          <w:fldChar w:fldCharType="end"/>
        </w:r>
      </w:hyperlink>
    </w:p>
    <w:p w14:paraId="29514527" w14:textId="062B6CAF" w:rsidR="00BE1F18" w:rsidRDefault="00A316D5">
      <w:pPr>
        <w:pStyle w:val="TOC4"/>
        <w:rPr>
          <w:rFonts w:eastAsiaTheme="minorEastAsia"/>
          <w:smallCaps w:val="0"/>
          <w:noProof/>
          <w:sz w:val="22"/>
        </w:rPr>
      </w:pPr>
      <w:hyperlink w:anchor="_Toc83388243" w:history="1">
        <w:r w:rsidR="00BE1F18" w:rsidRPr="00CA0EB3">
          <w:rPr>
            <w:rStyle w:val="Hyperlink"/>
            <w:noProof/>
          </w:rPr>
          <w:t>OneDrive for Business</w:t>
        </w:r>
        <w:r w:rsidR="00BE1F18">
          <w:rPr>
            <w:noProof/>
            <w:webHidden/>
          </w:rPr>
          <w:tab/>
        </w:r>
        <w:r w:rsidR="00BE1F18">
          <w:rPr>
            <w:noProof/>
            <w:webHidden/>
          </w:rPr>
          <w:fldChar w:fldCharType="begin"/>
        </w:r>
        <w:r w:rsidR="00BE1F18">
          <w:rPr>
            <w:noProof/>
            <w:webHidden/>
          </w:rPr>
          <w:instrText xml:space="preserve"> PAGEREF _Toc83388243 \h </w:instrText>
        </w:r>
        <w:r w:rsidR="00BE1F18">
          <w:rPr>
            <w:noProof/>
            <w:webHidden/>
          </w:rPr>
        </w:r>
        <w:r w:rsidR="00BE1F18">
          <w:rPr>
            <w:noProof/>
            <w:webHidden/>
          </w:rPr>
          <w:fldChar w:fldCharType="separate"/>
        </w:r>
        <w:r w:rsidR="00BE1F18">
          <w:rPr>
            <w:noProof/>
            <w:webHidden/>
          </w:rPr>
          <w:t>15</w:t>
        </w:r>
        <w:r w:rsidR="00BE1F18">
          <w:rPr>
            <w:noProof/>
            <w:webHidden/>
          </w:rPr>
          <w:fldChar w:fldCharType="end"/>
        </w:r>
      </w:hyperlink>
    </w:p>
    <w:p w14:paraId="2DD6B6D5" w14:textId="71F4CCFD" w:rsidR="00BE1F18" w:rsidRDefault="00A316D5">
      <w:pPr>
        <w:pStyle w:val="TOC4"/>
        <w:rPr>
          <w:rFonts w:eastAsiaTheme="minorEastAsia"/>
          <w:smallCaps w:val="0"/>
          <w:noProof/>
          <w:sz w:val="22"/>
        </w:rPr>
      </w:pPr>
      <w:hyperlink w:anchor="_Toc83388244" w:history="1">
        <w:r w:rsidR="00BE1F18" w:rsidRPr="00CA0EB3">
          <w:rPr>
            <w:rStyle w:val="Hyperlink"/>
            <w:noProof/>
          </w:rPr>
          <w:t>Project Online</w:t>
        </w:r>
        <w:r w:rsidR="00BE1F18">
          <w:rPr>
            <w:noProof/>
            <w:webHidden/>
          </w:rPr>
          <w:tab/>
        </w:r>
        <w:r w:rsidR="00BE1F18">
          <w:rPr>
            <w:noProof/>
            <w:webHidden/>
          </w:rPr>
          <w:fldChar w:fldCharType="begin"/>
        </w:r>
        <w:r w:rsidR="00BE1F18">
          <w:rPr>
            <w:noProof/>
            <w:webHidden/>
          </w:rPr>
          <w:instrText xml:space="preserve"> PAGEREF _Toc83388244 \h </w:instrText>
        </w:r>
        <w:r w:rsidR="00BE1F18">
          <w:rPr>
            <w:noProof/>
            <w:webHidden/>
          </w:rPr>
        </w:r>
        <w:r w:rsidR="00BE1F18">
          <w:rPr>
            <w:noProof/>
            <w:webHidden/>
          </w:rPr>
          <w:fldChar w:fldCharType="separate"/>
        </w:r>
        <w:r w:rsidR="00BE1F18">
          <w:rPr>
            <w:noProof/>
            <w:webHidden/>
          </w:rPr>
          <w:t>15</w:t>
        </w:r>
        <w:r w:rsidR="00BE1F18">
          <w:rPr>
            <w:noProof/>
            <w:webHidden/>
          </w:rPr>
          <w:fldChar w:fldCharType="end"/>
        </w:r>
      </w:hyperlink>
    </w:p>
    <w:p w14:paraId="2130DA6B" w14:textId="395C0477" w:rsidR="00BE1F18" w:rsidRDefault="00A316D5">
      <w:pPr>
        <w:pStyle w:val="TOC4"/>
        <w:rPr>
          <w:rFonts w:eastAsiaTheme="minorEastAsia"/>
          <w:smallCaps w:val="0"/>
          <w:noProof/>
          <w:sz w:val="22"/>
        </w:rPr>
      </w:pPr>
      <w:hyperlink w:anchor="_Toc83388245" w:history="1">
        <w:r w:rsidR="00BE1F18" w:rsidRPr="00CA0EB3">
          <w:rPr>
            <w:rStyle w:val="Hyperlink"/>
            <w:noProof/>
          </w:rPr>
          <w:t>SharePoint Online</w:t>
        </w:r>
        <w:r w:rsidR="00BE1F18">
          <w:rPr>
            <w:noProof/>
            <w:webHidden/>
          </w:rPr>
          <w:tab/>
        </w:r>
        <w:r w:rsidR="00BE1F18">
          <w:rPr>
            <w:noProof/>
            <w:webHidden/>
          </w:rPr>
          <w:fldChar w:fldCharType="begin"/>
        </w:r>
        <w:r w:rsidR="00BE1F18">
          <w:rPr>
            <w:noProof/>
            <w:webHidden/>
          </w:rPr>
          <w:instrText xml:space="preserve"> PAGEREF _Toc83388245 \h </w:instrText>
        </w:r>
        <w:r w:rsidR="00BE1F18">
          <w:rPr>
            <w:noProof/>
            <w:webHidden/>
          </w:rPr>
        </w:r>
        <w:r w:rsidR="00BE1F18">
          <w:rPr>
            <w:noProof/>
            <w:webHidden/>
          </w:rPr>
          <w:fldChar w:fldCharType="separate"/>
        </w:r>
        <w:r w:rsidR="00BE1F18">
          <w:rPr>
            <w:noProof/>
            <w:webHidden/>
          </w:rPr>
          <w:t>16</w:t>
        </w:r>
        <w:r w:rsidR="00BE1F18">
          <w:rPr>
            <w:noProof/>
            <w:webHidden/>
          </w:rPr>
          <w:fldChar w:fldCharType="end"/>
        </w:r>
      </w:hyperlink>
    </w:p>
    <w:p w14:paraId="6A37EC36" w14:textId="262EE023" w:rsidR="00BE1F18" w:rsidRDefault="00A316D5">
      <w:pPr>
        <w:pStyle w:val="TOC4"/>
        <w:rPr>
          <w:rFonts w:eastAsiaTheme="minorEastAsia"/>
          <w:smallCaps w:val="0"/>
          <w:noProof/>
          <w:sz w:val="22"/>
        </w:rPr>
      </w:pPr>
      <w:hyperlink w:anchor="_Toc83388246" w:history="1">
        <w:r w:rsidR="00BE1F18" w:rsidRPr="00CA0EB3">
          <w:rPr>
            <w:rStyle w:val="Hyperlink"/>
            <w:noProof/>
          </w:rPr>
          <w:t>Skype for Business Online</w:t>
        </w:r>
        <w:r w:rsidR="00BE1F18">
          <w:rPr>
            <w:noProof/>
            <w:webHidden/>
          </w:rPr>
          <w:tab/>
        </w:r>
        <w:r w:rsidR="00BE1F18">
          <w:rPr>
            <w:noProof/>
            <w:webHidden/>
          </w:rPr>
          <w:fldChar w:fldCharType="begin"/>
        </w:r>
        <w:r w:rsidR="00BE1F18">
          <w:rPr>
            <w:noProof/>
            <w:webHidden/>
          </w:rPr>
          <w:instrText xml:space="preserve"> PAGEREF _Toc83388246 \h </w:instrText>
        </w:r>
        <w:r w:rsidR="00BE1F18">
          <w:rPr>
            <w:noProof/>
            <w:webHidden/>
          </w:rPr>
        </w:r>
        <w:r w:rsidR="00BE1F18">
          <w:rPr>
            <w:noProof/>
            <w:webHidden/>
          </w:rPr>
          <w:fldChar w:fldCharType="separate"/>
        </w:r>
        <w:r w:rsidR="00BE1F18">
          <w:rPr>
            <w:noProof/>
            <w:webHidden/>
          </w:rPr>
          <w:t>16</w:t>
        </w:r>
        <w:r w:rsidR="00BE1F18">
          <w:rPr>
            <w:noProof/>
            <w:webHidden/>
          </w:rPr>
          <w:fldChar w:fldCharType="end"/>
        </w:r>
      </w:hyperlink>
    </w:p>
    <w:p w14:paraId="7E6DB1B0" w14:textId="09E64895" w:rsidR="00BE1F18" w:rsidRDefault="00A316D5">
      <w:pPr>
        <w:pStyle w:val="TOC2"/>
        <w:tabs>
          <w:tab w:val="right" w:leader="dot" w:pos="5030"/>
        </w:tabs>
        <w:rPr>
          <w:rFonts w:eastAsiaTheme="minorEastAsia"/>
          <w:b w:val="0"/>
          <w:smallCaps w:val="0"/>
          <w:noProof/>
          <w:sz w:val="22"/>
        </w:rPr>
      </w:pPr>
      <w:hyperlink w:anchor="_Toc83388247" w:history="1">
        <w:r w:rsidR="00BE1F18" w:rsidRPr="00CA0EB3">
          <w:rPr>
            <w:rStyle w:val="Hyperlink"/>
            <w:rFonts w:hint="eastAsia"/>
            <w:noProof/>
          </w:rPr>
          <w:t>其他在线服务</w:t>
        </w:r>
        <w:r w:rsidR="00BE1F18">
          <w:rPr>
            <w:noProof/>
            <w:webHidden/>
          </w:rPr>
          <w:tab/>
        </w:r>
        <w:r w:rsidR="00BE1F18">
          <w:rPr>
            <w:noProof/>
            <w:webHidden/>
          </w:rPr>
          <w:fldChar w:fldCharType="begin"/>
        </w:r>
        <w:r w:rsidR="00BE1F18">
          <w:rPr>
            <w:noProof/>
            <w:webHidden/>
          </w:rPr>
          <w:instrText xml:space="preserve"> PAGEREF _Toc83388247 \h </w:instrText>
        </w:r>
        <w:r w:rsidR="00BE1F18">
          <w:rPr>
            <w:noProof/>
            <w:webHidden/>
          </w:rPr>
        </w:r>
        <w:r w:rsidR="00BE1F18">
          <w:rPr>
            <w:noProof/>
            <w:webHidden/>
          </w:rPr>
          <w:fldChar w:fldCharType="separate"/>
        </w:r>
        <w:r w:rsidR="00BE1F18">
          <w:rPr>
            <w:noProof/>
            <w:webHidden/>
          </w:rPr>
          <w:t>17</w:t>
        </w:r>
        <w:r w:rsidR="00BE1F18">
          <w:rPr>
            <w:noProof/>
            <w:webHidden/>
          </w:rPr>
          <w:fldChar w:fldCharType="end"/>
        </w:r>
      </w:hyperlink>
    </w:p>
    <w:p w14:paraId="51469BD5" w14:textId="5A9F1413" w:rsidR="00BE1F18" w:rsidRDefault="00A316D5">
      <w:pPr>
        <w:pStyle w:val="TOC4"/>
        <w:rPr>
          <w:rFonts w:eastAsiaTheme="minorEastAsia"/>
          <w:smallCaps w:val="0"/>
          <w:noProof/>
          <w:sz w:val="22"/>
        </w:rPr>
      </w:pPr>
      <w:hyperlink w:anchor="_Toc83388248" w:history="1">
        <w:r w:rsidR="00BE1F18" w:rsidRPr="00CA0EB3">
          <w:rPr>
            <w:rStyle w:val="Hyperlink"/>
            <w:noProof/>
          </w:rPr>
          <w:t>Microsoft Power Platform</w:t>
        </w:r>
        <w:r w:rsidR="00BE1F18">
          <w:rPr>
            <w:noProof/>
            <w:webHidden/>
          </w:rPr>
          <w:tab/>
        </w:r>
        <w:r w:rsidR="00BE1F18">
          <w:rPr>
            <w:noProof/>
            <w:webHidden/>
          </w:rPr>
          <w:fldChar w:fldCharType="begin"/>
        </w:r>
        <w:r w:rsidR="00BE1F18">
          <w:rPr>
            <w:noProof/>
            <w:webHidden/>
          </w:rPr>
          <w:instrText xml:space="preserve"> PAGEREF _Toc83388248 \h </w:instrText>
        </w:r>
        <w:r w:rsidR="00BE1F18">
          <w:rPr>
            <w:noProof/>
            <w:webHidden/>
          </w:rPr>
        </w:r>
        <w:r w:rsidR="00BE1F18">
          <w:rPr>
            <w:noProof/>
            <w:webHidden/>
          </w:rPr>
          <w:fldChar w:fldCharType="separate"/>
        </w:r>
        <w:r w:rsidR="00BE1F18">
          <w:rPr>
            <w:noProof/>
            <w:webHidden/>
          </w:rPr>
          <w:t>17</w:t>
        </w:r>
        <w:r w:rsidR="00BE1F18">
          <w:rPr>
            <w:noProof/>
            <w:webHidden/>
          </w:rPr>
          <w:fldChar w:fldCharType="end"/>
        </w:r>
      </w:hyperlink>
    </w:p>
    <w:p w14:paraId="1CD50DA0" w14:textId="66FAC99A" w:rsidR="00BE1F18" w:rsidRDefault="00A316D5">
      <w:pPr>
        <w:pStyle w:val="TOC4"/>
        <w:rPr>
          <w:rFonts w:eastAsiaTheme="minorEastAsia"/>
          <w:smallCaps w:val="0"/>
          <w:noProof/>
          <w:sz w:val="22"/>
        </w:rPr>
      </w:pPr>
      <w:hyperlink w:anchor="_Toc83388249" w:history="1">
        <w:r w:rsidR="00BE1F18" w:rsidRPr="00CA0EB3">
          <w:rPr>
            <w:rStyle w:val="Hyperlink"/>
            <w:noProof/>
            <w:lang w:val="pt-BR"/>
          </w:rPr>
          <w:t>Microsoft Intune</w:t>
        </w:r>
        <w:r w:rsidR="00BE1F18">
          <w:rPr>
            <w:noProof/>
            <w:webHidden/>
          </w:rPr>
          <w:tab/>
        </w:r>
        <w:r w:rsidR="00BE1F18">
          <w:rPr>
            <w:noProof/>
            <w:webHidden/>
          </w:rPr>
          <w:fldChar w:fldCharType="begin"/>
        </w:r>
        <w:r w:rsidR="00BE1F18">
          <w:rPr>
            <w:noProof/>
            <w:webHidden/>
          </w:rPr>
          <w:instrText xml:space="preserve"> PAGEREF _Toc83388249 \h </w:instrText>
        </w:r>
        <w:r w:rsidR="00BE1F18">
          <w:rPr>
            <w:noProof/>
            <w:webHidden/>
          </w:rPr>
        </w:r>
        <w:r w:rsidR="00BE1F18">
          <w:rPr>
            <w:noProof/>
            <w:webHidden/>
          </w:rPr>
          <w:fldChar w:fldCharType="separate"/>
        </w:r>
        <w:r w:rsidR="00BE1F18">
          <w:rPr>
            <w:noProof/>
            <w:webHidden/>
          </w:rPr>
          <w:t>17</w:t>
        </w:r>
        <w:r w:rsidR="00BE1F18">
          <w:rPr>
            <w:noProof/>
            <w:webHidden/>
          </w:rPr>
          <w:fldChar w:fldCharType="end"/>
        </w:r>
      </w:hyperlink>
    </w:p>
    <w:p w14:paraId="34788566" w14:textId="58C48E66" w:rsidR="00BE1F18" w:rsidRDefault="00A316D5">
      <w:pPr>
        <w:pStyle w:val="TOC1"/>
        <w:tabs>
          <w:tab w:val="right" w:leader="dot" w:pos="5030"/>
        </w:tabs>
        <w:rPr>
          <w:rFonts w:eastAsiaTheme="minorEastAsia"/>
          <w:b w:val="0"/>
          <w:caps w:val="0"/>
          <w:noProof/>
          <w:sz w:val="22"/>
        </w:rPr>
      </w:pPr>
      <w:hyperlink w:anchor="_Toc83388250" w:history="1">
        <w:r w:rsidR="00BE1F18" w:rsidRPr="00CA0EB3">
          <w:rPr>
            <w:rStyle w:val="Hyperlink"/>
            <w:rFonts w:hint="eastAsia"/>
            <w:noProof/>
          </w:rPr>
          <w:t>世纪互联在线服务产品提供情况</w:t>
        </w:r>
        <w:r w:rsidR="00BE1F18" w:rsidRPr="00CA0EB3">
          <w:rPr>
            <w:rStyle w:val="Hyperlink"/>
            <w:noProof/>
          </w:rPr>
          <w:t xml:space="preserve"> (</w:t>
        </w:r>
        <w:r w:rsidR="00BE1F18" w:rsidRPr="00CA0EB3">
          <w:rPr>
            <w:rStyle w:val="Hyperlink"/>
            <w:rFonts w:hint="eastAsia"/>
            <w:noProof/>
          </w:rPr>
          <w:t>仅适用于</w:t>
        </w:r>
        <w:r w:rsidR="00BE1F18" w:rsidRPr="00CA0EB3">
          <w:rPr>
            <w:rStyle w:val="Hyperlink"/>
            <w:noProof/>
          </w:rPr>
          <w:t>OSPA)</w:t>
        </w:r>
        <w:r w:rsidR="00BE1F18">
          <w:rPr>
            <w:noProof/>
            <w:webHidden/>
          </w:rPr>
          <w:tab/>
        </w:r>
        <w:r w:rsidR="00BE1F18">
          <w:rPr>
            <w:noProof/>
            <w:webHidden/>
          </w:rPr>
          <w:fldChar w:fldCharType="begin"/>
        </w:r>
        <w:r w:rsidR="00BE1F18">
          <w:rPr>
            <w:noProof/>
            <w:webHidden/>
          </w:rPr>
          <w:instrText xml:space="preserve"> PAGEREF _Toc83388250 \h </w:instrText>
        </w:r>
        <w:r w:rsidR="00BE1F18">
          <w:rPr>
            <w:noProof/>
            <w:webHidden/>
          </w:rPr>
        </w:r>
        <w:r w:rsidR="00BE1F18">
          <w:rPr>
            <w:noProof/>
            <w:webHidden/>
          </w:rPr>
          <w:fldChar w:fldCharType="separate"/>
        </w:r>
        <w:r w:rsidR="00BE1F18">
          <w:rPr>
            <w:noProof/>
            <w:webHidden/>
          </w:rPr>
          <w:t>19</w:t>
        </w:r>
        <w:r w:rsidR="00BE1F18">
          <w:rPr>
            <w:noProof/>
            <w:webHidden/>
          </w:rPr>
          <w:fldChar w:fldCharType="end"/>
        </w:r>
      </w:hyperlink>
    </w:p>
    <w:p w14:paraId="0EA25E78" w14:textId="3703AAB1" w:rsidR="00BE1F18" w:rsidRDefault="00A316D5">
      <w:pPr>
        <w:pStyle w:val="TOC5"/>
        <w:rPr>
          <w:rFonts w:eastAsiaTheme="minorEastAsia"/>
          <w:noProof/>
          <w:sz w:val="22"/>
        </w:rPr>
      </w:pPr>
      <w:hyperlink w:anchor="_Toc83388251" w:history="1">
        <w:r w:rsidR="00BE1F18" w:rsidRPr="00CA0EB3">
          <w:rPr>
            <w:rStyle w:val="Hyperlink"/>
            <w:noProof/>
          </w:rPr>
          <w:t>Microsoft Azure</w:t>
        </w:r>
        <w:r w:rsidR="00BE1F18">
          <w:rPr>
            <w:noProof/>
            <w:webHidden/>
          </w:rPr>
          <w:tab/>
        </w:r>
        <w:r w:rsidR="00BE1F18">
          <w:rPr>
            <w:noProof/>
            <w:webHidden/>
          </w:rPr>
          <w:fldChar w:fldCharType="begin"/>
        </w:r>
        <w:r w:rsidR="00BE1F18">
          <w:rPr>
            <w:noProof/>
            <w:webHidden/>
          </w:rPr>
          <w:instrText xml:space="preserve"> PAGEREF _Toc83388251 \h </w:instrText>
        </w:r>
        <w:r w:rsidR="00BE1F18">
          <w:rPr>
            <w:noProof/>
            <w:webHidden/>
          </w:rPr>
        </w:r>
        <w:r w:rsidR="00BE1F18">
          <w:rPr>
            <w:noProof/>
            <w:webHidden/>
          </w:rPr>
          <w:fldChar w:fldCharType="separate"/>
        </w:r>
        <w:r w:rsidR="00BE1F18">
          <w:rPr>
            <w:noProof/>
            <w:webHidden/>
          </w:rPr>
          <w:t>19</w:t>
        </w:r>
        <w:r w:rsidR="00BE1F18">
          <w:rPr>
            <w:noProof/>
            <w:webHidden/>
          </w:rPr>
          <w:fldChar w:fldCharType="end"/>
        </w:r>
      </w:hyperlink>
    </w:p>
    <w:p w14:paraId="060ECEDB" w14:textId="41117891" w:rsidR="00BE1F18" w:rsidRDefault="00A316D5">
      <w:pPr>
        <w:pStyle w:val="TOC5"/>
        <w:rPr>
          <w:rFonts w:eastAsiaTheme="minorEastAsia"/>
          <w:noProof/>
          <w:sz w:val="22"/>
        </w:rPr>
      </w:pPr>
      <w:hyperlink w:anchor="_Toc83388252" w:history="1">
        <w:r w:rsidR="00BE1F18" w:rsidRPr="00CA0EB3">
          <w:rPr>
            <w:rStyle w:val="Hyperlink"/>
            <w:noProof/>
          </w:rPr>
          <w:t>Microsoft Dynamics 365</w:t>
        </w:r>
        <w:r w:rsidR="00BE1F18">
          <w:rPr>
            <w:noProof/>
            <w:webHidden/>
          </w:rPr>
          <w:tab/>
        </w:r>
        <w:r w:rsidR="00BE1F18">
          <w:rPr>
            <w:noProof/>
            <w:webHidden/>
          </w:rPr>
          <w:fldChar w:fldCharType="begin"/>
        </w:r>
        <w:r w:rsidR="00BE1F18">
          <w:rPr>
            <w:noProof/>
            <w:webHidden/>
          </w:rPr>
          <w:instrText xml:space="preserve"> PAGEREF _Toc83388252 \h </w:instrText>
        </w:r>
        <w:r w:rsidR="00BE1F18">
          <w:rPr>
            <w:noProof/>
            <w:webHidden/>
          </w:rPr>
        </w:r>
        <w:r w:rsidR="00BE1F18">
          <w:rPr>
            <w:noProof/>
            <w:webHidden/>
          </w:rPr>
          <w:fldChar w:fldCharType="separate"/>
        </w:r>
        <w:r w:rsidR="00BE1F18">
          <w:rPr>
            <w:noProof/>
            <w:webHidden/>
          </w:rPr>
          <w:t>19</w:t>
        </w:r>
        <w:r w:rsidR="00BE1F18">
          <w:rPr>
            <w:noProof/>
            <w:webHidden/>
          </w:rPr>
          <w:fldChar w:fldCharType="end"/>
        </w:r>
      </w:hyperlink>
    </w:p>
    <w:p w14:paraId="01224FF3" w14:textId="05FE5945" w:rsidR="00BE1F18" w:rsidRDefault="00A316D5">
      <w:pPr>
        <w:pStyle w:val="TOC5"/>
        <w:rPr>
          <w:rFonts w:eastAsiaTheme="minorEastAsia"/>
          <w:noProof/>
          <w:sz w:val="22"/>
        </w:rPr>
      </w:pPr>
      <w:hyperlink w:anchor="_Toc83388253" w:history="1">
        <w:r w:rsidR="00BE1F18" w:rsidRPr="00CA0EB3">
          <w:rPr>
            <w:rStyle w:val="Hyperlink"/>
            <w:noProof/>
          </w:rPr>
          <w:t>Office 365</w:t>
        </w:r>
        <w:r w:rsidR="00BE1F18">
          <w:rPr>
            <w:noProof/>
            <w:webHidden/>
          </w:rPr>
          <w:tab/>
        </w:r>
        <w:r w:rsidR="00BE1F18">
          <w:rPr>
            <w:noProof/>
            <w:webHidden/>
          </w:rPr>
          <w:fldChar w:fldCharType="begin"/>
        </w:r>
        <w:r w:rsidR="00BE1F18">
          <w:rPr>
            <w:noProof/>
            <w:webHidden/>
          </w:rPr>
          <w:instrText xml:space="preserve"> PAGEREF _Toc83388253 \h </w:instrText>
        </w:r>
        <w:r w:rsidR="00BE1F18">
          <w:rPr>
            <w:noProof/>
            <w:webHidden/>
          </w:rPr>
        </w:r>
        <w:r w:rsidR="00BE1F18">
          <w:rPr>
            <w:noProof/>
            <w:webHidden/>
          </w:rPr>
          <w:fldChar w:fldCharType="separate"/>
        </w:r>
        <w:r w:rsidR="00BE1F18">
          <w:rPr>
            <w:noProof/>
            <w:webHidden/>
          </w:rPr>
          <w:t>20</w:t>
        </w:r>
        <w:r w:rsidR="00BE1F18">
          <w:rPr>
            <w:noProof/>
            <w:webHidden/>
          </w:rPr>
          <w:fldChar w:fldCharType="end"/>
        </w:r>
      </w:hyperlink>
    </w:p>
    <w:p w14:paraId="1C61CD16" w14:textId="63861846" w:rsidR="00BE1F18" w:rsidRDefault="00A316D5">
      <w:pPr>
        <w:pStyle w:val="TOC5"/>
        <w:rPr>
          <w:rFonts w:eastAsiaTheme="minorEastAsia"/>
          <w:noProof/>
          <w:sz w:val="22"/>
        </w:rPr>
      </w:pPr>
      <w:hyperlink w:anchor="_Toc83388254" w:history="1">
        <w:r w:rsidR="00BE1F18" w:rsidRPr="00CA0EB3">
          <w:rPr>
            <w:rStyle w:val="Hyperlink"/>
            <w:noProof/>
          </w:rPr>
          <w:t>Office 365</w:t>
        </w:r>
        <w:r w:rsidR="00BE1F18" w:rsidRPr="00CA0EB3">
          <w:rPr>
            <w:rStyle w:val="Hyperlink"/>
            <w:rFonts w:hint="eastAsia"/>
            <w:noProof/>
          </w:rPr>
          <w:t>教育在线服务</w:t>
        </w:r>
        <w:r w:rsidR="00BE1F18">
          <w:rPr>
            <w:noProof/>
            <w:webHidden/>
          </w:rPr>
          <w:tab/>
        </w:r>
        <w:r w:rsidR="00BE1F18">
          <w:rPr>
            <w:noProof/>
            <w:webHidden/>
          </w:rPr>
          <w:fldChar w:fldCharType="begin"/>
        </w:r>
        <w:r w:rsidR="00BE1F18">
          <w:rPr>
            <w:noProof/>
            <w:webHidden/>
          </w:rPr>
          <w:instrText xml:space="preserve"> PAGEREF _Toc83388254 \h </w:instrText>
        </w:r>
        <w:r w:rsidR="00BE1F18">
          <w:rPr>
            <w:noProof/>
            <w:webHidden/>
          </w:rPr>
        </w:r>
        <w:r w:rsidR="00BE1F18">
          <w:rPr>
            <w:noProof/>
            <w:webHidden/>
          </w:rPr>
          <w:fldChar w:fldCharType="separate"/>
        </w:r>
        <w:r w:rsidR="00BE1F18">
          <w:rPr>
            <w:noProof/>
            <w:webHidden/>
          </w:rPr>
          <w:t>22</w:t>
        </w:r>
        <w:r w:rsidR="00BE1F18">
          <w:rPr>
            <w:noProof/>
            <w:webHidden/>
          </w:rPr>
          <w:fldChar w:fldCharType="end"/>
        </w:r>
      </w:hyperlink>
    </w:p>
    <w:p w14:paraId="6F05741F" w14:textId="157BF8B7" w:rsidR="00BE1F18" w:rsidRDefault="00A316D5">
      <w:pPr>
        <w:pStyle w:val="TOC5"/>
        <w:rPr>
          <w:rFonts w:eastAsiaTheme="minorEastAsia"/>
          <w:noProof/>
          <w:sz w:val="22"/>
        </w:rPr>
      </w:pPr>
      <w:hyperlink w:anchor="_Toc83388255" w:history="1">
        <w:r w:rsidR="00BE1F18" w:rsidRPr="00CA0EB3">
          <w:rPr>
            <w:rStyle w:val="Hyperlink"/>
            <w:rFonts w:hint="eastAsia"/>
            <w:noProof/>
          </w:rPr>
          <w:t>世纪互联产品可用性定义</w:t>
        </w:r>
        <w:r w:rsidR="00BE1F18">
          <w:rPr>
            <w:noProof/>
            <w:webHidden/>
          </w:rPr>
          <w:tab/>
        </w:r>
        <w:r w:rsidR="00BE1F18">
          <w:rPr>
            <w:noProof/>
            <w:webHidden/>
          </w:rPr>
          <w:fldChar w:fldCharType="begin"/>
        </w:r>
        <w:r w:rsidR="00BE1F18">
          <w:rPr>
            <w:noProof/>
            <w:webHidden/>
          </w:rPr>
          <w:instrText xml:space="preserve"> PAGEREF _Toc83388255 \h </w:instrText>
        </w:r>
        <w:r w:rsidR="00BE1F18">
          <w:rPr>
            <w:noProof/>
            <w:webHidden/>
          </w:rPr>
        </w:r>
        <w:r w:rsidR="00BE1F18">
          <w:rPr>
            <w:noProof/>
            <w:webHidden/>
          </w:rPr>
          <w:fldChar w:fldCharType="separate"/>
        </w:r>
        <w:r w:rsidR="00BE1F18">
          <w:rPr>
            <w:noProof/>
            <w:webHidden/>
          </w:rPr>
          <w:t>23</w:t>
        </w:r>
        <w:r w:rsidR="00BE1F18">
          <w:rPr>
            <w:noProof/>
            <w:webHidden/>
          </w:rPr>
          <w:fldChar w:fldCharType="end"/>
        </w:r>
      </w:hyperlink>
    </w:p>
    <w:p w14:paraId="3F44B845" w14:textId="097ECA8B" w:rsidR="00BE1F18" w:rsidRDefault="00A316D5">
      <w:pPr>
        <w:pStyle w:val="TOC1"/>
        <w:tabs>
          <w:tab w:val="right" w:leader="dot" w:pos="5030"/>
        </w:tabs>
        <w:rPr>
          <w:rFonts w:eastAsiaTheme="minorEastAsia"/>
          <w:b w:val="0"/>
          <w:caps w:val="0"/>
          <w:noProof/>
          <w:sz w:val="22"/>
        </w:rPr>
      </w:pPr>
      <w:hyperlink w:anchor="_Toc83388256" w:history="1">
        <w:r w:rsidR="00BE1F18" w:rsidRPr="00CA0EB3">
          <w:rPr>
            <w:rStyle w:val="Hyperlink"/>
            <w:rFonts w:hint="eastAsia"/>
            <w:noProof/>
          </w:rPr>
          <w:t>附件</w:t>
        </w:r>
        <w:r w:rsidR="00BE1F18" w:rsidRPr="00CA0EB3">
          <w:rPr>
            <w:rStyle w:val="Hyperlink"/>
            <w:noProof/>
          </w:rPr>
          <w:t xml:space="preserve"> 1</w:t>
        </w:r>
        <w:r w:rsidR="00BE1F18" w:rsidRPr="00CA0EB3">
          <w:rPr>
            <w:rStyle w:val="Hyperlink"/>
            <w:rFonts w:hint="eastAsia"/>
            <w:noProof/>
          </w:rPr>
          <w:t>——声明</w:t>
        </w:r>
        <w:r w:rsidR="00BE1F18">
          <w:rPr>
            <w:noProof/>
            <w:webHidden/>
          </w:rPr>
          <w:tab/>
        </w:r>
        <w:r w:rsidR="00BE1F18">
          <w:rPr>
            <w:noProof/>
            <w:webHidden/>
          </w:rPr>
          <w:fldChar w:fldCharType="begin"/>
        </w:r>
        <w:r w:rsidR="00BE1F18">
          <w:rPr>
            <w:noProof/>
            <w:webHidden/>
          </w:rPr>
          <w:instrText xml:space="preserve"> PAGEREF _Toc83388256 \h </w:instrText>
        </w:r>
        <w:r w:rsidR="00BE1F18">
          <w:rPr>
            <w:noProof/>
            <w:webHidden/>
          </w:rPr>
        </w:r>
        <w:r w:rsidR="00BE1F18">
          <w:rPr>
            <w:noProof/>
            <w:webHidden/>
          </w:rPr>
          <w:fldChar w:fldCharType="separate"/>
        </w:r>
        <w:r w:rsidR="00BE1F18">
          <w:rPr>
            <w:noProof/>
            <w:webHidden/>
          </w:rPr>
          <w:t>25</w:t>
        </w:r>
        <w:r w:rsidR="00BE1F18">
          <w:rPr>
            <w:noProof/>
            <w:webHidden/>
          </w:rPr>
          <w:fldChar w:fldCharType="end"/>
        </w:r>
      </w:hyperlink>
    </w:p>
    <w:p w14:paraId="4A5DF99F" w14:textId="3A8F3874" w:rsidR="00BE1F18" w:rsidRDefault="00A316D5">
      <w:pPr>
        <w:pStyle w:val="TOC3"/>
        <w:rPr>
          <w:rFonts w:eastAsiaTheme="minorEastAsia"/>
          <w:b w:val="0"/>
          <w:smallCaps w:val="0"/>
          <w:sz w:val="22"/>
        </w:rPr>
      </w:pPr>
      <w:hyperlink w:anchor="_Toc83388257" w:history="1">
        <w:r w:rsidR="00BE1F18" w:rsidRPr="00CA0EB3">
          <w:rPr>
            <w:rStyle w:val="Hyperlink"/>
            <w:rFonts w:hint="eastAsia"/>
          </w:rPr>
          <w:t>不在</w:t>
        </w:r>
        <w:r w:rsidR="00BE1F18" w:rsidRPr="00CA0EB3">
          <w:rPr>
            <w:rStyle w:val="Hyperlink"/>
          </w:rPr>
          <w:t>DPA</w:t>
        </w:r>
        <w:r w:rsidR="00BE1F18" w:rsidRPr="00CA0EB3">
          <w:rPr>
            <w:rStyle w:val="Hyperlink"/>
            <w:rFonts w:hint="eastAsia"/>
          </w:rPr>
          <w:t>范围内的在线服务</w:t>
        </w:r>
        <w:r w:rsidR="00BE1F18">
          <w:rPr>
            <w:webHidden/>
          </w:rPr>
          <w:tab/>
        </w:r>
        <w:r w:rsidR="00BE1F18">
          <w:rPr>
            <w:webHidden/>
          </w:rPr>
          <w:fldChar w:fldCharType="begin"/>
        </w:r>
        <w:r w:rsidR="00BE1F18">
          <w:rPr>
            <w:webHidden/>
          </w:rPr>
          <w:instrText xml:space="preserve"> PAGEREF _Toc83388257 \h </w:instrText>
        </w:r>
        <w:r w:rsidR="00BE1F18">
          <w:rPr>
            <w:webHidden/>
          </w:rPr>
        </w:r>
        <w:r w:rsidR="00BE1F18">
          <w:rPr>
            <w:webHidden/>
          </w:rPr>
          <w:fldChar w:fldCharType="separate"/>
        </w:r>
        <w:r w:rsidR="00BE1F18">
          <w:rPr>
            <w:webHidden/>
          </w:rPr>
          <w:t>25</w:t>
        </w:r>
        <w:r w:rsidR="00BE1F18">
          <w:rPr>
            <w:webHidden/>
          </w:rPr>
          <w:fldChar w:fldCharType="end"/>
        </w:r>
      </w:hyperlink>
    </w:p>
    <w:p w14:paraId="123E1857" w14:textId="6A6E3823" w:rsidR="00BE1F18" w:rsidRDefault="00A316D5">
      <w:pPr>
        <w:pStyle w:val="TOC3"/>
        <w:rPr>
          <w:rFonts w:eastAsiaTheme="minorEastAsia"/>
          <w:b w:val="0"/>
          <w:smallCaps w:val="0"/>
          <w:sz w:val="22"/>
        </w:rPr>
      </w:pPr>
      <w:hyperlink w:anchor="_Toc83388258" w:history="1">
        <w:r w:rsidR="00BE1F18" w:rsidRPr="00CA0EB3">
          <w:rPr>
            <w:rStyle w:val="Hyperlink"/>
            <w:rFonts w:hint="eastAsia"/>
          </w:rPr>
          <w:t>核心在线服务</w:t>
        </w:r>
        <w:r w:rsidR="00BE1F18">
          <w:rPr>
            <w:webHidden/>
          </w:rPr>
          <w:tab/>
        </w:r>
        <w:r w:rsidR="00BE1F18">
          <w:rPr>
            <w:webHidden/>
          </w:rPr>
          <w:fldChar w:fldCharType="begin"/>
        </w:r>
        <w:r w:rsidR="00BE1F18">
          <w:rPr>
            <w:webHidden/>
          </w:rPr>
          <w:instrText xml:space="preserve"> PAGEREF _Toc83388258 \h </w:instrText>
        </w:r>
        <w:r w:rsidR="00BE1F18">
          <w:rPr>
            <w:webHidden/>
          </w:rPr>
        </w:r>
        <w:r w:rsidR="00BE1F18">
          <w:rPr>
            <w:webHidden/>
          </w:rPr>
          <w:fldChar w:fldCharType="separate"/>
        </w:r>
        <w:r w:rsidR="00BE1F18">
          <w:rPr>
            <w:webHidden/>
          </w:rPr>
          <w:t>25</w:t>
        </w:r>
        <w:r w:rsidR="00BE1F18">
          <w:rPr>
            <w:webHidden/>
          </w:rPr>
          <w:fldChar w:fldCharType="end"/>
        </w:r>
      </w:hyperlink>
    </w:p>
    <w:p w14:paraId="73387155" w14:textId="5A7BF3A8" w:rsidR="00BE1F18" w:rsidRDefault="00A316D5">
      <w:pPr>
        <w:pStyle w:val="TOC3"/>
        <w:rPr>
          <w:rFonts w:eastAsiaTheme="minorEastAsia"/>
          <w:b w:val="0"/>
          <w:smallCaps w:val="0"/>
          <w:sz w:val="22"/>
        </w:rPr>
      </w:pPr>
      <w:hyperlink w:anchor="_Toc83388259" w:history="1">
        <w:r w:rsidR="00BE1F18" w:rsidRPr="00CA0EB3">
          <w:rPr>
            <w:rStyle w:val="Hyperlink"/>
          </w:rPr>
          <w:t>Bing Maps</w:t>
        </w:r>
        <w:r w:rsidR="00BE1F18">
          <w:rPr>
            <w:webHidden/>
          </w:rPr>
          <w:tab/>
        </w:r>
        <w:r w:rsidR="00BE1F18">
          <w:rPr>
            <w:webHidden/>
          </w:rPr>
          <w:fldChar w:fldCharType="begin"/>
        </w:r>
        <w:r w:rsidR="00BE1F18">
          <w:rPr>
            <w:webHidden/>
          </w:rPr>
          <w:instrText xml:space="preserve"> PAGEREF _Toc83388259 \h </w:instrText>
        </w:r>
        <w:r w:rsidR="00BE1F18">
          <w:rPr>
            <w:webHidden/>
          </w:rPr>
        </w:r>
        <w:r w:rsidR="00BE1F18">
          <w:rPr>
            <w:webHidden/>
          </w:rPr>
          <w:fldChar w:fldCharType="separate"/>
        </w:r>
        <w:r w:rsidR="00BE1F18">
          <w:rPr>
            <w:webHidden/>
          </w:rPr>
          <w:t>25</w:t>
        </w:r>
        <w:r w:rsidR="00BE1F18">
          <w:rPr>
            <w:webHidden/>
          </w:rPr>
          <w:fldChar w:fldCharType="end"/>
        </w:r>
      </w:hyperlink>
    </w:p>
    <w:p w14:paraId="5760BEC4" w14:textId="019218FF" w:rsidR="00BE1F18" w:rsidRDefault="00A316D5">
      <w:pPr>
        <w:pStyle w:val="TOC3"/>
        <w:rPr>
          <w:rFonts w:eastAsiaTheme="minorEastAsia"/>
          <w:b w:val="0"/>
          <w:smallCaps w:val="0"/>
          <w:sz w:val="22"/>
        </w:rPr>
      </w:pPr>
      <w:hyperlink w:anchor="_Toc83388260" w:history="1">
        <w:r w:rsidR="00BE1F18" w:rsidRPr="00CA0EB3">
          <w:rPr>
            <w:rStyle w:val="Hyperlink"/>
            <w:rFonts w:hint="eastAsia"/>
          </w:rPr>
          <w:t>关于</w:t>
        </w:r>
        <w:r w:rsidR="00BE1F18" w:rsidRPr="00CA0EB3">
          <w:rPr>
            <w:rStyle w:val="Hyperlink"/>
          </w:rPr>
          <w:t xml:space="preserve"> Azure </w:t>
        </w:r>
        <w:r w:rsidR="00BE1F18" w:rsidRPr="00CA0EB3">
          <w:rPr>
            <w:rStyle w:val="Hyperlink"/>
            <w:rFonts w:hint="eastAsia"/>
          </w:rPr>
          <w:t>媒体服务</w:t>
        </w:r>
        <w:r w:rsidR="00BE1F18" w:rsidRPr="00CA0EB3">
          <w:rPr>
            <w:rStyle w:val="Hyperlink"/>
          </w:rPr>
          <w:t xml:space="preserve"> H.265/HEVC </w:t>
        </w:r>
        <w:r w:rsidR="00BE1F18" w:rsidRPr="00CA0EB3">
          <w:rPr>
            <w:rStyle w:val="Hyperlink"/>
            <w:rFonts w:hint="eastAsia"/>
          </w:rPr>
          <w:t>编码的声明</w:t>
        </w:r>
        <w:r w:rsidR="00BE1F18">
          <w:rPr>
            <w:webHidden/>
          </w:rPr>
          <w:tab/>
        </w:r>
        <w:r w:rsidR="00BE1F18">
          <w:rPr>
            <w:webHidden/>
          </w:rPr>
          <w:fldChar w:fldCharType="begin"/>
        </w:r>
        <w:r w:rsidR="00BE1F18">
          <w:rPr>
            <w:webHidden/>
          </w:rPr>
          <w:instrText xml:space="preserve"> PAGEREF _Toc83388260 \h </w:instrText>
        </w:r>
        <w:r w:rsidR="00BE1F18">
          <w:rPr>
            <w:webHidden/>
          </w:rPr>
        </w:r>
        <w:r w:rsidR="00BE1F18">
          <w:rPr>
            <w:webHidden/>
          </w:rPr>
          <w:fldChar w:fldCharType="separate"/>
        </w:r>
        <w:r w:rsidR="00BE1F18">
          <w:rPr>
            <w:webHidden/>
          </w:rPr>
          <w:t>25</w:t>
        </w:r>
        <w:r w:rsidR="00BE1F18">
          <w:rPr>
            <w:webHidden/>
          </w:rPr>
          <w:fldChar w:fldCharType="end"/>
        </w:r>
      </w:hyperlink>
    </w:p>
    <w:p w14:paraId="35834CD4" w14:textId="1C72B814" w:rsidR="00BE1F18" w:rsidRDefault="00A316D5">
      <w:pPr>
        <w:pStyle w:val="TOC3"/>
        <w:rPr>
          <w:rFonts w:eastAsiaTheme="minorEastAsia"/>
          <w:b w:val="0"/>
          <w:smallCaps w:val="0"/>
          <w:sz w:val="22"/>
        </w:rPr>
      </w:pPr>
      <w:hyperlink w:anchor="_Toc83388261" w:history="1">
        <w:r w:rsidR="00BE1F18" w:rsidRPr="00CA0EB3">
          <w:rPr>
            <w:rStyle w:val="Hyperlink"/>
            <w:rFonts w:hint="eastAsia"/>
          </w:rPr>
          <w:t>关于</w:t>
        </w:r>
        <w:r w:rsidR="00BE1F18" w:rsidRPr="00CA0EB3">
          <w:rPr>
            <w:rStyle w:val="Hyperlink"/>
          </w:rPr>
          <w:t xml:space="preserve"> H.264/AVC </w:t>
        </w:r>
        <w:r w:rsidR="00BE1F18" w:rsidRPr="00CA0EB3">
          <w:rPr>
            <w:rStyle w:val="Hyperlink"/>
            <w:rFonts w:hint="eastAsia"/>
          </w:rPr>
          <w:t>视频标准、</w:t>
        </w:r>
        <w:r w:rsidR="00BE1F18" w:rsidRPr="00CA0EB3">
          <w:rPr>
            <w:rStyle w:val="Hyperlink"/>
          </w:rPr>
          <w:t xml:space="preserve">VC-1 </w:t>
        </w:r>
        <w:r w:rsidR="00BE1F18" w:rsidRPr="00CA0EB3">
          <w:rPr>
            <w:rStyle w:val="Hyperlink"/>
            <w:rFonts w:hint="eastAsia"/>
          </w:rPr>
          <w:t>视频标准、和</w:t>
        </w:r>
        <w:r w:rsidR="00BE1F18" w:rsidRPr="00CA0EB3">
          <w:rPr>
            <w:rStyle w:val="Hyperlink"/>
          </w:rPr>
          <w:t xml:space="preserve">MPEG-4 </w:t>
        </w:r>
        <w:r w:rsidR="00BE1F18" w:rsidRPr="00CA0EB3">
          <w:rPr>
            <w:rStyle w:val="Hyperlink"/>
            <w:rFonts w:hint="eastAsia"/>
          </w:rPr>
          <w:t>视觉标准的声明</w:t>
        </w:r>
        <w:r w:rsidR="00BE1F18">
          <w:rPr>
            <w:webHidden/>
          </w:rPr>
          <w:tab/>
        </w:r>
        <w:r w:rsidR="00BE1F18">
          <w:rPr>
            <w:webHidden/>
          </w:rPr>
          <w:fldChar w:fldCharType="begin"/>
        </w:r>
        <w:r w:rsidR="00BE1F18">
          <w:rPr>
            <w:webHidden/>
          </w:rPr>
          <w:instrText xml:space="preserve"> PAGEREF _Toc83388261 \h </w:instrText>
        </w:r>
        <w:r w:rsidR="00BE1F18">
          <w:rPr>
            <w:webHidden/>
          </w:rPr>
        </w:r>
        <w:r w:rsidR="00BE1F18">
          <w:rPr>
            <w:webHidden/>
          </w:rPr>
          <w:fldChar w:fldCharType="separate"/>
        </w:r>
        <w:r w:rsidR="00BE1F18">
          <w:rPr>
            <w:webHidden/>
          </w:rPr>
          <w:t>25</w:t>
        </w:r>
        <w:r w:rsidR="00BE1F18">
          <w:rPr>
            <w:webHidden/>
          </w:rPr>
          <w:fldChar w:fldCharType="end"/>
        </w:r>
      </w:hyperlink>
    </w:p>
    <w:p w14:paraId="092742E0" w14:textId="5FF398FA" w:rsidR="00BE1F18" w:rsidRDefault="00A316D5">
      <w:pPr>
        <w:pStyle w:val="TOC1"/>
        <w:tabs>
          <w:tab w:val="right" w:leader="dot" w:pos="5030"/>
        </w:tabs>
        <w:rPr>
          <w:rFonts w:eastAsiaTheme="minorEastAsia"/>
          <w:b w:val="0"/>
          <w:caps w:val="0"/>
          <w:noProof/>
          <w:sz w:val="22"/>
        </w:rPr>
      </w:pPr>
      <w:hyperlink w:anchor="_Toc83388262" w:history="1">
        <w:r w:rsidR="00BE1F18" w:rsidRPr="00CA0EB3">
          <w:rPr>
            <w:rStyle w:val="Hyperlink"/>
            <w:rFonts w:hint="eastAsia"/>
            <w:noProof/>
          </w:rPr>
          <w:t>附件</w:t>
        </w:r>
        <w:r w:rsidR="00BE1F18" w:rsidRPr="00CA0EB3">
          <w:rPr>
            <w:rStyle w:val="Hyperlink"/>
            <w:noProof/>
          </w:rPr>
          <w:t xml:space="preserve"> 2</w:t>
        </w:r>
        <w:r w:rsidR="00BE1F18" w:rsidRPr="00CA0EB3">
          <w:rPr>
            <w:rStyle w:val="Hyperlink"/>
            <w:rFonts w:hint="eastAsia"/>
            <w:noProof/>
          </w:rPr>
          <w:t>——订购许可套件</w:t>
        </w:r>
        <w:r w:rsidR="00BE1F18">
          <w:rPr>
            <w:noProof/>
            <w:webHidden/>
          </w:rPr>
          <w:tab/>
        </w:r>
        <w:r w:rsidR="00BE1F18">
          <w:rPr>
            <w:noProof/>
            <w:webHidden/>
          </w:rPr>
          <w:fldChar w:fldCharType="begin"/>
        </w:r>
        <w:r w:rsidR="00BE1F18">
          <w:rPr>
            <w:noProof/>
            <w:webHidden/>
          </w:rPr>
          <w:instrText xml:space="preserve"> PAGEREF _Toc83388262 \h </w:instrText>
        </w:r>
        <w:r w:rsidR="00BE1F18">
          <w:rPr>
            <w:noProof/>
            <w:webHidden/>
          </w:rPr>
        </w:r>
        <w:r w:rsidR="00BE1F18">
          <w:rPr>
            <w:noProof/>
            <w:webHidden/>
          </w:rPr>
          <w:fldChar w:fldCharType="separate"/>
        </w:r>
        <w:r w:rsidR="00BE1F18">
          <w:rPr>
            <w:noProof/>
            <w:webHidden/>
          </w:rPr>
          <w:t>27</w:t>
        </w:r>
        <w:r w:rsidR="00BE1F18">
          <w:rPr>
            <w:noProof/>
            <w:webHidden/>
          </w:rPr>
          <w:fldChar w:fldCharType="end"/>
        </w:r>
      </w:hyperlink>
    </w:p>
    <w:p w14:paraId="274D0478" w14:textId="423D4765"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83388209"/>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6" w:name="_Toc83388210"/>
      <w:r w:rsidRPr="000C6A9D">
        <w:rPr>
          <w:rFonts w:hint="eastAsia"/>
        </w:rPr>
        <w:t>服务级别协议</w:t>
      </w:r>
      <w:bookmarkEnd w:id="6"/>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A316D5" w:rsidP="0040796D">
      <w:pPr>
        <w:pStyle w:val="ProductList-Body"/>
      </w:pPr>
      <w:hyperlink r:id="rId17" w:history="1">
        <w:r w:rsidR="00E62EF8" w:rsidRPr="000C6A9D">
          <w:rPr>
            <w:rStyle w:val="Hyperlink"/>
          </w:rPr>
          <w:t>http://www.21vbluecloud.com/ostpt/</w:t>
        </w:r>
      </w:hyperlink>
      <w:r w:rsidR="00E62EF8" w:rsidRPr="000C6A9D">
        <w:t xml:space="preserve"> </w:t>
      </w:r>
      <w:r w:rsidR="00E62EF8"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83388211"/>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83388212"/>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83388213"/>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83388214"/>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002280"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39B7C91" w:rsidR="003C327C" w:rsidRPr="00002280"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002280" w:rsidRDefault="003C327C" w:rsidP="00E4091D">
            <w:pPr>
              <w:pStyle w:val="ProductList-Body"/>
              <w:rPr>
                <w:rFonts w:cstheme="minorHAnsi"/>
                <w:sz w:val="16"/>
                <w:szCs w:val="16"/>
              </w:rPr>
            </w:pPr>
          </w:p>
        </w:tc>
      </w:tr>
    </w:tbl>
    <w:p w14:paraId="1C775AA0" w14:textId="77777777" w:rsidR="006D46D9" w:rsidRPr="00002280" w:rsidRDefault="006D46D9" w:rsidP="00601C0D">
      <w:pPr>
        <w:pStyle w:val="ProductList-Body"/>
        <w:rPr>
          <w:rFonts w:cstheme="minorHAnsi"/>
        </w:rPr>
      </w:pPr>
    </w:p>
    <w:p w14:paraId="1DE199AC" w14:textId="08C6D722" w:rsidR="000F74FA" w:rsidRPr="00177394" w:rsidRDefault="000F74FA" w:rsidP="000F74FA">
      <w:pPr>
        <w:pStyle w:val="ProductList-Body"/>
        <w:numPr>
          <w:ilvl w:val="0"/>
          <w:numId w:val="60"/>
        </w:numPr>
      </w:pPr>
      <w:r w:rsidRPr="00177394">
        <w:rPr>
          <w:rFonts w:hint="eastAsia"/>
          <w:b/>
          <w:bCs/>
        </w:rPr>
        <w:t>世纪互联在线服务产品提供情况</w:t>
      </w:r>
      <w:r w:rsidRPr="00177394">
        <w:rPr>
          <w:rFonts w:hint="eastAsia"/>
          <w:b/>
          <w:bCs/>
        </w:rPr>
        <w:t xml:space="preserve"> (</w:t>
      </w:r>
      <w:r w:rsidRPr="00177394">
        <w:rPr>
          <w:rFonts w:hint="eastAsia"/>
          <w:b/>
          <w:bCs/>
        </w:rPr>
        <w:t>仅适用于</w:t>
      </w:r>
      <w:r w:rsidRPr="00177394">
        <w:rPr>
          <w:rFonts w:hint="eastAsia"/>
          <w:b/>
          <w:bCs/>
        </w:rPr>
        <w:t>OSPA)</w:t>
      </w:r>
      <w:r w:rsidRPr="00177394">
        <w:t>-&gt;</w:t>
      </w:r>
      <w:r w:rsidRPr="00177394">
        <w:rPr>
          <w:b/>
          <w:bCs/>
        </w:rPr>
        <w:t>Microsoft Dynamics 365</w:t>
      </w:r>
      <w:r w:rsidR="00CB7DC6" w:rsidRPr="00177394">
        <w:rPr>
          <w:rFonts w:hint="eastAsia"/>
        </w:rPr>
        <w:t>添加了</w:t>
      </w:r>
      <w:r w:rsidRPr="00177394">
        <w:t>‘Power APPs per App (1App or portal)’</w:t>
      </w:r>
      <w:r w:rsidR="00D563E0" w:rsidRPr="00177394">
        <w:rPr>
          <w:rFonts w:hint="eastAsia"/>
        </w:rPr>
        <w:t>。</w:t>
      </w:r>
    </w:p>
    <w:p w14:paraId="72D1145A" w14:textId="14B913A6" w:rsidR="000F74FA" w:rsidRPr="00177394" w:rsidRDefault="00CB7DC6" w:rsidP="000F74FA">
      <w:pPr>
        <w:pStyle w:val="ProductList-Body"/>
        <w:numPr>
          <w:ilvl w:val="0"/>
          <w:numId w:val="60"/>
        </w:numPr>
      </w:pPr>
      <w:r w:rsidRPr="00177394">
        <w:rPr>
          <w:rFonts w:hint="eastAsia"/>
          <w:b/>
          <w:bCs/>
        </w:rPr>
        <w:t>附件</w:t>
      </w:r>
      <w:r w:rsidRPr="00177394">
        <w:rPr>
          <w:rFonts w:hint="eastAsia"/>
          <w:b/>
          <w:bCs/>
        </w:rPr>
        <w:t>1</w:t>
      </w:r>
      <w:r w:rsidRPr="00177394">
        <w:rPr>
          <w:b/>
          <w:bCs/>
        </w:rPr>
        <w:t xml:space="preserve"> – </w:t>
      </w:r>
      <w:r w:rsidRPr="00177394">
        <w:rPr>
          <w:rFonts w:hint="eastAsia"/>
          <w:b/>
          <w:bCs/>
        </w:rPr>
        <w:t>声明</w:t>
      </w:r>
      <w:r w:rsidR="000F74FA" w:rsidRPr="00177394">
        <w:t xml:space="preserve"> -&gt; </w:t>
      </w:r>
      <w:r w:rsidR="000172F1" w:rsidRPr="00177394">
        <w:rPr>
          <w:rFonts w:hint="eastAsia"/>
          <w:b/>
          <w:bCs/>
        </w:rPr>
        <w:t>核心在线服务</w:t>
      </w:r>
      <w:r w:rsidR="000F74FA" w:rsidRPr="00177394">
        <w:t xml:space="preserve">:  </w:t>
      </w:r>
      <w:r w:rsidR="00CD0D32" w:rsidRPr="00177394">
        <w:rPr>
          <w:rFonts w:hint="eastAsia"/>
        </w:rPr>
        <w:t>在</w:t>
      </w:r>
      <w:r w:rsidR="0025711F" w:rsidRPr="00177394">
        <w:rPr>
          <w:rFonts w:hint="eastAsia"/>
        </w:rPr>
        <w:t>“</w:t>
      </w:r>
      <w:proofErr w:type="spellStart"/>
      <w:r w:rsidR="0025711F" w:rsidRPr="00177394">
        <w:t>Micrsoft</w:t>
      </w:r>
      <w:proofErr w:type="spellEnd"/>
      <w:r w:rsidR="0025711F" w:rsidRPr="00177394">
        <w:t xml:space="preserve"> Azure </w:t>
      </w:r>
      <w:r w:rsidR="0025711F" w:rsidRPr="00177394">
        <w:rPr>
          <w:rFonts w:hint="eastAsia"/>
        </w:rPr>
        <w:t>核心服务</w:t>
      </w:r>
      <w:r w:rsidR="00456B3F" w:rsidRPr="00177394">
        <w:rPr>
          <w:rFonts w:hint="eastAsia"/>
        </w:rPr>
        <w:t>”</w:t>
      </w:r>
      <w:r w:rsidR="00D563E0" w:rsidRPr="00177394">
        <w:rPr>
          <w:rFonts w:hint="eastAsia"/>
        </w:rPr>
        <w:t>添加了“</w:t>
      </w:r>
      <w:r w:rsidR="00D563E0" w:rsidRPr="00177394">
        <w:rPr>
          <w:rFonts w:hint="eastAsia"/>
        </w:rPr>
        <w:t>Azure Spring Cloud</w:t>
      </w:r>
      <w:r w:rsidR="00D563E0" w:rsidRPr="00177394">
        <w:rPr>
          <w:rFonts w:hint="eastAsia"/>
        </w:rPr>
        <w:t>”。</w:t>
      </w:r>
      <w:r w:rsidR="00D563E0" w:rsidRPr="00177394">
        <w:rPr>
          <w:rFonts w:hint="eastAsia"/>
        </w:rPr>
        <w:t xml:space="preserve"> </w:t>
      </w:r>
      <w:r w:rsidR="00456B3F" w:rsidRPr="00177394">
        <w:rPr>
          <w:rFonts w:hint="eastAsia"/>
        </w:rPr>
        <w:t>在“</w:t>
      </w:r>
      <w:r w:rsidR="00556C74" w:rsidRPr="00177394">
        <w:rPr>
          <w:rFonts w:hint="eastAsia"/>
        </w:rPr>
        <w:t xml:space="preserve">Office 365 </w:t>
      </w:r>
      <w:r w:rsidR="00556C74" w:rsidRPr="00177394">
        <w:rPr>
          <w:rFonts w:hint="eastAsia"/>
        </w:rPr>
        <w:t>服务</w:t>
      </w:r>
      <w:r w:rsidR="00456B3F" w:rsidRPr="00177394">
        <w:rPr>
          <w:rFonts w:hint="eastAsia"/>
        </w:rPr>
        <w:t>”</w:t>
      </w:r>
      <w:r w:rsidR="00D563E0" w:rsidRPr="00177394">
        <w:rPr>
          <w:rFonts w:hint="eastAsia"/>
        </w:rPr>
        <w:t>删除了“</w:t>
      </w:r>
      <w:r w:rsidR="00D563E0" w:rsidRPr="00177394">
        <w:rPr>
          <w:rFonts w:hint="eastAsia"/>
        </w:rPr>
        <w:t xml:space="preserve">PSTN </w:t>
      </w:r>
      <w:r w:rsidR="00D563E0" w:rsidRPr="00177394">
        <w:rPr>
          <w:rFonts w:hint="eastAsia"/>
        </w:rPr>
        <w:t>服务”，因为</w:t>
      </w:r>
      <w:r w:rsidR="00D563E0" w:rsidRPr="00177394">
        <w:rPr>
          <w:rFonts w:hint="eastAsia"/>
        </w:rPr>
        <w:t xml:space="preserve"> 21Vianet </w:t>
      </w:r>
      <w:r w:rsidR="00D563E0" w:rsidRPr="00177394">
        <w:rPr>
          <w:rFonts w:hint="eastAsia"/>
        </w:rPr>
        <w:t>没有该服务</w:t>
      </w:r>
      <w:r w:rsidR="006C2E54" w:rsidRPr="00177394">
        <w:rPr>
          <w:rFonts w:hint="eastAsia"/>
        </w:rPr>
        <w:t>。</w:t>
      </w:r>
      <w:r w:rsidR="000F74FA" w:rsidRPr="00177394">
        <w:t xml:space="preserve"> </w:t>
      </w:r>
    </w:p>
    <w:p w14:paraId="24657BDB" w14:textId="03E08439" w:rsidR="00D740F1" w:rsidRPr="00177394" w:rsidRDefault="006C2E54" w:rsidP="0069263B">
      <w:pPr>
        <w:pStyle w:val="ProductList-Body"/>
        <w:numPr>
          <w:ilvl w:val="0"/>
          <w:numId w:val="60"/>
        </w:numPr>
      </w:pPr>
      <w:r w:rsidRPr="00177394">
        <w:rPr>
          <w:rFonts w:hint="eastAsia"/>
          <w:b/>
          <w:bCs/>
        </w:rPr>
        <w:t>特定在线服务的条款”</w:t>
      </w:r>
      <w:r w:rsidRPr="00177394">
        <w:rPr>
          <w:b/>
          <w:bCs/>
        </w:rPr>
        <w:t>-&gt;</w:t>
      </w:r>
      <w:r w:rsidR="000F74FA" w:rsidRPr="00177394">
        <w:rPr>
          <w:b/>
          <w:bCs/>
        </w:rPr>
        <w:t xml:space="preserve"> Microsoft Azure </w:t>
      </w:r>
      <w:r w:rsidR="00302581" w:rsidRPr="00177394">
        <w:rPr>
          <w:rFonts w:hint="eastAsia"/>
          <w:b/>
          <w:bCs/>
        </w:rPr>
        <w:t>服务</w:t>
      </w:r>
      <w:r w:rsidR="000F74FA" w:rsidRPr="00177394">
        <w:rPr>
          <w:b/>
          <w:bCs/>
        </w:rPr>
        <w:t xml:space="preserve"> -&gt; </w:t>
      </w:r>
      <w:r w:rsidR="00302581" w:rsidRPr="00177394">
        <w:rPr>
          <w:rFonts w:hint="eastAsia"/>
          <w:b/>
          <w:bCs/>
        </w:rPr>
        <w:t>认知服务</w:t>
      </w:r>
      <w:r w:rsidR="000F74FA" w:rsidRPr="00177394">
        <w:rPr>
          <w:b/>
          <w:bCs/>
        </w:rPr>
        <w:t>:</w:t>
      </w:r>
      <w:r w:rsidR="000F74FA" w:rsidRPr="00177394">
        <w:t xml:space="preserve">   </w:t>
      </w:r>
      <w:r w:rsidR="00D740F1" w:rsidRPr="00177394">
        <w:rPr>
          <w:rFonts w:hint="eastAsia"/>
        </w:rPr>
        <w:t>将“认知服务”更改为“认知服务和应用</w:t>
      </w:r>
      <w:r w:rsidR="00EB27FD" w:rsidRPr="00177394">
        <w:t>AI</w:t>
      </w:r>
      <w:r w:rsidR="00D740F1" w:rsidRPr="00177394">
        <w:rPr>
          <w:rFonts w:hint="eastAsia"/>
        </w:rPr>
        <w:t>服务”。</w:t>
      </w:r>
    </w:p>
    <w:p w14:paraId="4F5CB24D" w14:textId="4266B1C1" w:rsidR="000F74FA" w:rsidRPr="00177394" w:rsidRDefault="00D740F1" w:rsidP="0069263B">
      <w:pPr>
        <w:pStyle w:val="ProductList-Body"/>
        <w:numPr>
          <w:ilvl w:val="0"/>
          <w:numId w:val="60"/>
        </w:numPr>
      </w:pPr>
      <w:r w:rsidRPr="00177394">
        <w:rPr>
          <w:rFonts w:hint="eastAsia"/>
          <w:b/>
          <w:bCs/>
        </w:rPr>
        <w:t>特定在线服务的条”</w:t>
      </w:r>
      <w:r w:rsidRPr="00177394">
        <w:rPr>
          <w:b/>
          <w:bCs/>
        </w:rPr>
        <w:t xml:space="preserve">-&gt; Office 365 </w:t>
      </w:r>
      <w:r w:rsidRPr="00177394">
        <w:rPr>
          <w:rFonts w:hint="eastAsia"/>
          <w:b/>
          <w:bCs/>
        </w:rPr>
        <w:t>服务</w:t>
      </w:r>
      <w:r w:rsidRPr="00177394">
        <w:rPr>
          <w:b/>
          <w:bCs/>
        </w:rPr>
        <w:t xml:space="preserve"> -&gt; Microsoft 365 </w:t>
      </w:r>
      <w:r w:rsidRPr="00177394">
        <w:rPr>
          <w:rFonts w:hint="eastAsia"/>
          <w:b/>
          <w:bCs/>
        </w:rPr>
        <w:t>应用程序</w:t>
      </w:r>
      <w:r w:rsidRPr="00177394">
        <w:rPr>
          <w:rFonts w:hint="eastAsia"/>
        </w:rPr>
        <w:t>：</w:t>
      </w:r>
      <w:r w:rsidR="000F74FA" w:rsidRPr="00177394">
        <w:rPr>
          <w:b/>
          <w:bCs/>
        </w:rPr>
        <w:t xml:space="preserve">  </w:t>
      </w:r>
      <w:r w:rsidR="00C35D4D" w:rsidRPr="00177394">
        <w:rPr>
          <w:rFonts w:hint="eastAsia"/>
        </w:rPr>
        <w:t>更新了</w:t>
      </w:r>
      <w:r w:rsidR="00C35D4D" w:rsidRPr="00177394">
        <w:t xml:space="preserve"> QMTH </w:t>
      </w:r>
      <w:r w:rsidR="00C35D4D" w:rsidRPr="00177394">
        <w:rPr>
          <w:rFonts w:hint="eastAsia"/>
        </w:rPr>
        <w:t>文档链接</w:t>
      </w:r>
      <w:r w:rsidR="00C35D4D" w:rsidRPr="00177394">
        <w:rPr>
          <w:rFonts w:hint="eastAsia"/>
          <w:b/>
          <w:bCs/>
        </w:rPr>
        <w:t>。</w:t>
      </w:r>
      <w:r w:rsidR="000F74FA" w:rsidRPr="00177394">
        <w:t xml:space="preserve"> </w:t>
      </w:r>
    </w:p>
    <w:p w14:paraId="6E0701EB" w14:textId="66C56499" w:rsidR="000F74FA" w:rsidRPr="00177394" w:rsidRDefault="002D67A9" w:rsidP="00D12938">
      <w:pPr>
        <w:pStyle w:val="ProductList-Body"/>
        <w:numPr>
          <w:ilvl w:val="0"/>
          <w:numId w:val="60"/>
        </w:numPr>
      </w:pPr>
      <w:r w:rsidRPr="00177394">
        <w:rPr>
          <w:rFonts w:hint="eastAsia"/>
          <w:b/>
          <w:bCs/>
        </w:rPr>
        <w:t>特定在线服务的条”</w:t>
      </w:r>
      <w:r w:rsidRPr="00177394">
        <w:rPr>
          <w:b/>
          <w:bCs/>
        </w:rPr>
        <w:t xml:space="preserve">-&gt; Azure Active Directory Premium -&gt; </w:t>
      </w:r>
      <w:r w:rsidR="00B029DB" w:rsidRPr="00177394">
        <w:rPr>
          <w:rFonts w:hint="eastAsia"/>
          <w:b/>
          <w:bCs/>
        </w:rPr>
        <w:t>外部用户额度</w:t>
      </w:r>
      <w:r w:rsidRPr="00177394">
        <w:rPr>
          <w:rFonts w:hint="eastAsia"/>
        </w:rPr>
        <w:t>：</w:t>
      </w:r>
      <w:r w:rsidRPr="00177394">
        <w:rPr>
          <w:b/>
          <w:bCs/>
        </w:rPr>
        <w:t xml:space="preserve">  </w:t>
      </w:r>
      <w:r w:rsidR="00B029DB" w:rsidRPr="00177394">
        <w:rPr>
          <w:rFonts w:hint="eastAsia"/>
        </w:rPr>
        <w:t>添加了</w:t>
      </w:r>
      <w:r w:rsidR="005C1EED" w:rsidRPr="00177394">
        <w:rPr>
          <w:rFonts w:hint="eastAsia"/>
        </w:rPr>
        <w:t>只有外部用户可以使用基于月活跃用户计数的</w:t>
      </w:r>
      <w:r w:rsidR="005C1EED" w:rsidRPr="00177394">
        <w:rPr>
          <w:rFonts w:hint="eastAsia"/>
        </w:rPr>
        <w:t xml:space="preserve"> Azure Active Directory </w:t>
      </w:r>
      <w:r w:rsidR="005C1EED" w:rsidRPr="00177394">
        <w:rPr>
          <w:rFonts w:hint="eastAsia"/>
        </w:rPr>
        <w:t>外部身份定价</w:t>
      </w:r>
      <w:r w:rsidR="00EA5E9F" w:rsidRPr="00177394">
        <w:rPr>
          <w:rFonts w:hint="eastAsia"/>
        </w:rPr>
        <w:t>的条款</w:t>
      </w:r>
      <w:r w:rsidR="005C1EED" w:rsidRPr="00177394">
        <w:rPr>
          <w:rFonts w:hint="eastAsia"/>
        </w:rPr>
        <w:t>。</w:t>
      </w:r>
    </w:p>
    <w:p w14:paraId="469908A1" w14:textId="6AD88ECE" w:rsidR="00B553E1" w:rsidRDefault="00B553E1" w:rsidP="00F45AB9">
      <w:pPr>
        <w:pStyle w:val="ProductList-Body"/>
        <w:ind w:left="720"/>
        <w:rPr>
          <w:rFonts w:asciiTheme="majorHAnsi" w:hAnsiTheme="majorHAnsi"/>
          <w:b/>
          <w:sz w:val="40"/>
        </w:rPr>
      </w:pPr>
      <w:r>
        <w:br w:type="page"/>
      </w:r>
    </w:p>
    <w:p w14:paraId="08BC7463" w14:textId="30C98551" w:rsidR="00730B3A" w:rsidRPr="008E2AD9" w:rsidRDefault="00936D65" w:rsidP="00C91713">
      <w:pPr>
        <w:pStyle w:val="ProductList-SectionHeading"/>
        <w:outlineLvl w:val="0"/>
      </w:pPr>
      <w:bookmarkStart w:id="21" w:name="_Toc83388215"/>
      <w:r w:rsidRPr="008E2AD9">
        <w:rPr>
          <w:rFonts w:hint="eastAsia"/>
        </w:rPr>
        <w:lastRenderedPageBreak/>
        <w:t>定义</w:t>
      </w:r>
      <w:bookmarkEnd w:id="19"/>
      <w:bookmarkEnd w:id="21"/>
    </w:p>
    <w:bookmarkEnd w:id="20"/>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9" w:history="1">
        <w:r w:rsidRPr="00A31D2C">
          <w:rPr>
            <w:rStyle w:val="Hyperlink"/>
          </w:rPr>
          <w:t>http://www.21vbluecloud.com/ostpt</w:t>
        </w:r>
      </w:hyperlink>
      <w:r w:rsidRPr="00A31D2C">
        <w:rPr>
          <w:rStyle w:val="Hyperlink"/>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23" w:name="_Toc83388216"/>
      <w:r w:rsidRPr="00A31D2C">
        <w:rPr>
          <w:rFonts w:hint="eastAsia"/>
        </w:rPr>
        <w:lastRenderedPageBreak/>
        <w:t>通用</w:t>
      </w:r>
      <w:r w:rsidR="00BF1045" w:rsidRPr="00A31D2C">
        <w:rPr>
          <w:rFonts w:hint="eastAsia"/>
        </w:rPr>
        <w:t>条款</w:t>
      </w:r>
      <w:bookmarkEnd w:id="23"/>
    </w:p>
    <w:p w14:paraId="290B6F96" w14:textId="77777777" w:rsidR="00557169" w:rsidRPr="00A31D2C" w:rsidRDefault="009C11EF" w:rsidP="00366C8E">
      <w:pPr>
        <w:pStyle w:val="ProductList-SubSubSectionHeading"/>
        <w:outlineLvl w:val="1"/>
      </w:pPr>
      <w:bookmarkStart w:id="24" w:name="_Toc83388217"/>
      <w:bookmarkStart w:id="25" w:name="OnlineServicesChanges"/>
      <w:r w:rsidRPr="00A31D2C">
        <w:rPr>
          <w:rFonts w:hint="eastAsia"/>
        </w:rPr>
        <w:t>许可在线服务</w:t>
      </w:r>
      <w:bookmarkEnd w:id="24"/>
    </w:p>
    <w:bookmarkEnd w:id="2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7E5673B9" w:rsidR="00BD34EE" w:rsidRPr="00D908F5" w:rsidRDefault="00BD34EE" w:rsidP="00BD34EE">
      <w:pPr>
        <w:pStyle w:val="ProductList-Body"/>
        <w:ind w:left="158"/>
        <w:rPr>
          <w:rFonts w:cstheme="minorHAnsi"/>
        </w:rPr>
      </w:pPr>
      <w:r w:rsidRPr="00A31D2C">
        <w:rPr>
          <w:rFonts w:cstheme="minorHAnsi"/>
        </w:rPr>
        <w:t>•</w:t>
      </w:r>
      <w:r w:rsidRPr="00A31D2C">
        <w:rPr>
          <w:rFonts w:cstheme="minorHAnsi"/>
        </w:rPr>
        <w:tab/>
      </w:r>
      <w:r w:rsidRPr="00A31D2C">
        <w:rPr>
          <w:rFonts w:cstheme="minorHAnsi"/>
        </w:rPr>
        <w:t>合用连接或减少</w:t>
      </w:r>
      <w:r w:rsidRPr="00A31D2C">
        <w:rPr>
          <w:rFonts w:cstheme="minorHAnsi"/>
        </w:rPr>
        <w:t xml:space="preserve"> OSE</w:t>
      </w:r>
      <w:r w:rsidRPr="00A31D2C">
        <w:rPr>
          <w:rFonts w:cstheme="minorHAnsi"/>
        </w:rPr>
        <w:t>、设备或产品直接管理的用户的数量</w:t>
      </w:r>
      <w:r w:rsidRPr="00D908F5">
        <w:rPr>
          <w:rFonts w:cstheme="minorHAnsi"/>
        </w:rPr>
        <w:t>；</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83388218"/>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27" w:name="_Toc83388219"/>
      <w:r w:rsidRPr="00A31D2C">
        <w:rPr>
          <w:rFonts w:hint="eastAsia"/>
        </w:rPr>
        <w:t>数据保护和安全</w:t>
      </w:r>
      <w:bookmarkEnd w:id="27"/>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proofErr w:type="gramStart"/>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roofErr w:type="gramEnd"/>
      <w:r w:rsidRPr="00A31D2C">
        <w:rPr>
          <w:rFonts w:hint="eastAsia"/>
        </w:rPr>
        <w:t>。</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28" w:name="_Toc487133999"/>
      <w:bookmarkStart w:id="29" w:name="_Toc83388220"/>
      <w:r w:rsidRPr="00A31D2C">
        <w:rPr>
          <w:rFonts w:hint="eastAsia"/>
        </w:rPr>
        <w:t>在线服务中的软件使用</w:t>
      </w:r>
      <w:bookmarkEnd w:id="28"/>
      <w:bookmarkEnd w:id="29"/>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83388221"/>
      <w:r w:rsidRPr="008E2AD9">
        <w:rPr>
          <w:rFonts w:hint="eastAsia"/>
        </w:rPr>
        <w:t>技术限制</w:t>
      </w:r>
      <w:bookmarkEnd w:id="30"/>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83388222"/>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83388223"/>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83388224"/>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83388225"/>
      <w:r w:rsidRPr="008E2AD9">
        <w:rPr>
          <w:rFonts w:hint="eastAsia"/>
        </w:rPr>
        <w:t>有关国家机密的声明和保证。</w:t>
      </w:r>
      <w:bookmarkEnd w:id="36"/>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37" w:name="_Toc83388226"/>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37"/>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27"/>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83388227"/>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lastRenderedPageBreak/>
        <w:t>政府客户</w:t>
      </w:r>
    </w:p>
    <w:bookmarkEnd w:id="4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45" w:name="_Toc487134028"/>
      <w:bookmarkStart w:id="46" w:name="_Toc83388228"/>
      <w:bookmarkStart w:id="47" w:name="OnlineServiceSpecificTerms"/>
      <w:bookmarkEnd w:id="42"/>
      <w:bookmarkEnd w:id="43"/>
      <w:r w:rsidRPr="00A31D2C">
        <w:rPr>
          <w:rFonts w:hint="eastAsia"/>
        </w:rPr>
        <w:lastRenderedPageBreak/>
        <w:t>特定在线服务的条款</w:t>
      </w:r>
      <w:bookmarkEnd w:id="45"/>
      <w:bookmarkEnd w:id="46"/>
    </w:p>
    <w:bookmarkEnd w:id="47"/>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48" w:name="MicrosoftAzureServices"/>
      <w:bookmarkStart w:id="49" w:name="_Toc487134029"/>
      <w:bookmarkStart w:id="50" w:name="_Toc83388229"/>
      <w:r w:rsidRPr="008E2AD9">
        <w:rPr>
          <w:rFonts w:hint="eastAsia"/>
        </w:rPr>
        <w:t xml:space="preserve">Microsoft Azure </w:t>
      </w:r>
      <w:r w:rsidRPr="008E2AD9">
        <w:rPr>
          <w:rFonts w:hint="eastAsia"/>
        </w:rPr>
        <w:t>服务</w:t>
      </w:r>
      <w:bookmarkEnd w:id="48"/>
      <w:bookmarkEnd w:id="49"/>
      <w:bookmarkEnd w:id="50"/>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51" w:name="_Toc83388230"/>
      <w:bookmarkStart w:id="52" w:name="_Toc487134030"/>
      <w:bookmarkStart w:id="53" w:name="MicrosoftTranslator"/>
      <w:r w:rsidRPr="008E2AD9">
        <w:rPr>
          <w:rFonts w:hint="eastAsia"/>
        </w:rPr>
        <w:t>世纪互联</w:t>
      </w:r>
      <w:r w:rsidRPr="00284AA3">
        <w:rPr>
          <w:rFonts w:hint="eastAsia"/>
        </w:rPr>
        <w:t>预付费计算实例</w:t>
      </w:r>
      <w:r w:rsidRPr="00284AA3">
        <w:rPr>
          <w:rFonts w:hint="eastAsia"/>
        </w:rPr>
        <w:t>(CPP)</w:t>
      </w:r>
      <w:bookmarkEnd w:id="51"/>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54" w:name="AzureSQLEdge"/>
      <w:bookmarkStart w:id="55" w:name="_Toc48144597"/>
      <w:bookmarkStart w:id="56" w:name="_Toc49344095"/>
      <w:bookmarkStart w:id="57" w:name="_Toc83388231"/>
      <w:r w:rsidRPr="00160D62">
        <w:rPr>
          <w:rFonts w:cstheme="majorHAnsi"/>
        </w:rPr>
        <w:lastRenderedPageBreak/>
        <w:t>Azure SQL Edge</w:t>
      </w:r>
      <w:bookmarkEnd w:id="54"/>
      <w:bookmarkEnd w:id="55"/>
      <w:bookmarkEnd w:id="56"/>
      <w:bookmarkEnd w:id="57"/>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58" w:name="_Toc62760331"/>
      <w:bookmarkStart w:id="59" w:name="_Toc83388232"/>
      <w:r w:rsidRPr="00002280">
        <w:rPr>
          <w:rFonts w:cstheme="majorHAnsi"/>
        </w:rPr>
        <w:t>Azure Stack HCI</w:t>
      </w:r>
      <w:bookmarkEnd w:id="58"/>
      <w:bookmarkEnd w:id="59"/>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331A6E51"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proofErr w:type="gramStart"/>
      <w:r w:rsidR="00002280" w:rsidRPr="00002280">
        <w:rPr>
          <w:rFonts w:cstheme="minorHAnsi" w:hint="eastAsia"/>
        </w:rPr>
        <w:t>，“</w:t>
      </w:r>
      <w:proofErr w:type="gramEnd"/>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60" w:name="_Toc83388233"/>
      <w:r w:rsidRPr="008456E0">
        <w:rPr>
          <w:rFonts w:hint="eastAsia"/>
        </w:rPr>
        <w:t>Azure Stack</w:t>
      </w:r>
      <w:bookmarkEnd w:id="52"/>
      <w:r w:rsidR="007B33CA" w:rsidRPr="008456E0">
        <w:t xml:space="preserve"> Hub</w:t>
      </w:r>
      <w:bookmarkEnd w:id="60"/>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61" w:name="_Toc510880772"/>
      <w:bookmarkStart w:id="62" w:name="_Toc533624401"/>
      <w:bookmarkStart w:id="63" w:name="_Toc83388234"/>
      <w:r w:rsidRPr="00177394">
        <w:rPr>
          <w:rFonts w:asciiTheme="minorHAnsi" w:hAnsiTheme="minorHAnsi"/>
        </w:rPr>
        <w:t>认知服务</w:t>
      </w:r>
      <w:bookmarkEnd w:id="61"/>
      <w:bookmarkEnd w:id="62"/>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63"/>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64F0B4D"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proofErr w:type="gramStart"/>
      <w:r w:rsidR="00DD2183" w:rsidRPr="00DD2183">
        <w:rPr>
          <w:rFonts w:cstheme="minorHAnsi" w:hint="eastAsia"/>
          <w:sz w:val="18"/>
        </w:rPr>
        <w:t>a)</w:t>
      </w:r>
      <w:r w:rsidR="002375F2" w:rsidRPr="00692587">
        <w:rPr>
          <w:rFonts w:cstheme="minorHAnsi"/>
          <w:sz w:val="18"/>
        </w:rPr>
        <w:t>收集与计费端点相关的任何个人数据</w:t>
      </w:r>
      <w:proofErr w:type="gramEnd"/>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53"/>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64" w:name="EMS"/>
      <w:bookmarkStart w:id="65" w:name="_Toc487134032"/>
      <w:bookmarkStart w:id="66" w:name="_Toc83388235"/>
      <w:r w:rsidRPr="008E2AD9">
        <w:rPr>
          <w:rFonts w:hint="eastAsia"/>
        </w:rPr>
        <w:t xml:space="preserve">Microsoft Azure </w:t>
      </w:r>
      <w:r w:rsidRPr="008E2AD9">
        <w:rPr>
          <w:rFonts w:hint="eastAsia"/>
        </w:rPr>
        <w:t>计划</w:t>
      </w:r>
      <w:bookmarkEnd w:id="64"/>
      <w:bookmarkEnd w:id="65"/>
      <w:bookmarkEnd w:id="66"/>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67" w:name="AzureActiveDirectoryBasic"/>
      <w:bookmarkStart w:id="68" w:name="_Toc487134033"/>
      <w:bookmarkStart w:id="69" w:name="_Toc83388236"/>
      <w:r w:rsidRPr="008E2AD9">
        <w:rPr>
          <w:rFonts w:hint="eastAsia"/>
        </w:rPr>
        <w:t>Azure Active Directory Basic</w:t>
      </w:r>
      <w:bookmarkEnd w:id="67"/>
      <w:bookmarkEnd w:id="68"/>
      <w:bookmarkEnd w:id="6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70" w:name="_Toc459970715"/>
      <w:bookmarkStart w:id="71" w:name="_Toc457466429"/>
      <w:bookmarkStart w:id="72" w:name="_Toc15472248"/>
      <w:bookmarkStart w:id="73" w:name="_Toc83388237"/>
      <w:r w:rsidRPr="00FE6221">
        <w:lastRenderedPageBreak/>
        <w:t>Azure Active Directory Premium</w:t>
      </w:r>
      <w:bookmarkEnd w:id="70"/>
      <w:bookmarkEnd w:id="71"/>
      <w:bookmarkEnd w:id="72"/>
      <w:bookmarkEnd w:id="7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BE1F18" w:rsidRDefault="00774366" w:rsidP="00774366">
      <w:pPr>
        <w:pStyle w:val="ProductList-ClauseHeading"/>
      </w:pPr>
      <w:r w:rsidRPr="00BE1F18">
        <w:t>外部用户额度</w:t>
      </w:r>
    </w:p>
    <w:p w14:paraId="26CE9DC7" w14:textId="4C25A117" w:rsidR="00774366" w:rsidRPr="00F41912" w:rsidRDefault="00774366" w:rsidP="00774366">
      <w:pPr>
        <w:pStyle w:val="ProductList-Body"/>
      </w:pPr>
      <w:r w:rsidRPr="00BE1F18">
        <w:t>对于客户为用户分配的每个用户</w:t>
      </w:r>
      <w:r w:rsidRPr="00BE1F18">
        <w:t xml:space="preserve"> SL</w:t>
      </w:r>
      <w:r w:rsidRPr="00BE1F18">
        <w:t>（或等效的订购许可套件），客户还可以允许最多五个额外的外部用户访问相应的</w:t>
      </w:r>
      <w:r w:rsidRPr="00BE1F18">
        <w:t xml:space="preserve"> Azure Active Directory </w:t>
      </w:r>
      <w:r w:rsidRPr="00BE1F18">
        <w:t>服务级别。</w:t>
      </w:r>
      <w:bookmarkStart w:id="74" w:name="_Hlk67059690"/>
      <w:r w:rsidR="004539E2" w:rsidRPr="00BE1F18">
        <w:rPr>
          <w:rFonts w:ascii="Calibri" w:hAnsi="Calibri" w:cs="Calibri"/>
        </w:rPr>
        <w:t>此选项不适用于新客户，也不适用于按月活跃用户计数使用（或使用过）服务的客户</w:t>
      </w:r>
      <w:bookmarkEnd w:id="74"/>
      <w:r w:rsidR="004539E2" w:rsidRPr="00BE1F18">
        <w:rPr>
          <w:rFonts w:ascii="Calibri" w:hAnsi="Calibri" w:cs="Calibri" w:hint="eastAsia"/>
        </w:rPr>
        <w:t>。</w:t>
      </w:r>
      <w:r w:rsidR="001C5CC1" w:rsidRPr="00BE1F18">
        <w:rPr>
          <w:rFonts w:ascii="Calibri" w:hAnsi="Calibri" w:cs="Calibri" w:hint="eastAsia"/>
        </w:rPr>
        <w:t>只有外部用户可以使用基于月活跃用户计数的</w:t>
      </w:r>
      <w:r w:rsidR="001C5CC1" w:rsidRPr="00BE1F18">
        <w:rPr>
          <w:rFonts w:ascii="Calibri" w:hAnsi="Calibri" w:cs="Calibri" w:hint="eastAsia"/>
        </w:rPr>
        <w:t xml:space="preserve"> Azure Active Directory </w:t>
      </w:r>
      <w:r w:rsidR="001C5CC1" w:rsidRPr="00BE1F18">
        <w:rPr>
          <w:rFonts w:ascii="Calibri" w:hAnsi="Calibri" w:cs="Calibri" w:hint="eastAsia"/>
        </w:rPr>
        <w:t>外部身份定价。</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75" w:name="_Toc83388238"/>
      <w:r w:rsidRPr="00B26C04">
        <w:rPr>
          <w:rFonts w:hint="eastAsia"/>
        </w:rPr>
        <w:t xml:space="preserve">Microsoft Dynamics 365 </w:t>
      </w:r>
      <w:r w:rsidRPr="00B26C04">
        <w:rPr>
          <w:rFonts w:hint="eastAsia"/>
        </w:rPr>
        <w:t>服务</w:t>
      </w:r>
      <w:bookmarkEnd w:id="75"/>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headerReference w:type="default" r:id="rId20"/>
          <w:footerReference w:type="default" r:id="rId21"/>
          <w:footerReference w:type="first" r:id="rId22"/>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3"/>
          <w:footerReference w:type="first" r:id="rId2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6" w:name="O365Services"/>
      <w:bookmarkStart w:id="77" w:name="_Toc487134037"/>
      <w:bookmarkStart w:id="78" w:name="_Toc83388239"/>
      <w:r w:rsidRPr="008E2AD9">
        <w:rPr>
          <w:rFonts w:hint="eastAsia"/>
        </w:rPr>
        <w:lastRenderedPageBreak/>
        <w:t xml:space="preserve">Office 365 </w:t>
      </w:r>
      <w:r w:rsidRPr="008E2AD9">
        <w:rPr>
          <w:rFonts w:hint="eastAsia"/>
        </w:rPr>
        <w:t>服务</w:t>
      </w:r>
      <w:bookmarkEnd w:id="76"/>
      <w:bookmarkEnd w:id="77"/>
      <w:bookmarkEnd w:id="78"/>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79"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79"/>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80" w:name="ExchangeOnline"/>
      <w:bookmarkStart w:id="81" w:name="_Toc487134038"/>
      <w:bookmarkStart w:id="82" w:name="_Toc83388240"/>
      <w:r w:rsidRPr="008E2AD9">
        <w:rPr>
          <w:rFonts w:hint="eastAsia"/>
        </w:rPr>
        <w:t>Exchange Online</w:t>
      </w:r>
      <w:bookmarkEnd w:id="80"/>
      <w:bookmarkEnd w:id="81"/>
      <w:bookmarkEnd w:id="82"/>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5"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83" w:name="_Hlk486589626"/>
    </w:p>
    <w:bookmarkEnd w:id="83"/>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84" w:name="O365Applications"/>
      <w:bookmarkStart w:id="85" w:name="_Toc487134039"/>
    </w:p>
    <w:p w14:paraId="20B71093" w14:textId="73AC1CDD" w:rsidR="00862C50" w:rsidRPr="008E2AD9" w:rsidRDefault="0041174B" w:rsidP="00D73EC5">
      <w:pPr>
        <w:pStyle w:val="ProductList-Offering2Heading"/>
        <w:outlineLvl w:val="2"/>
      </w:pPr>
      <w:bookmarkStart w:id="86" w:name="_Toc83388241"/>
      <w:r w:rsidRPr="00380528">
        <w:rPr>
          <w:rFonts w:hint="eastAsia"/>
        </w:rPr>
        <w:t>Microsoft</w:t>
      </w:r>
      <w:r w:rsidR="00862C50" w:rsidRPr="00380528">
        <w:rPr>
          <w:rFonts w:hint="eastAsia"/>
        </w:rPr>
        <w:t xml:space="preserve"> 365 </w:t>
      </w:r>
      <w:r w:rsidR="00862C50" w:rsidRPr="00380528">
        <w:rPr>
          <w:rFonts w:hint="eastAsia"/>
        </w:rPr>
        <w:t>应用程序</w:t>
      </w:r>
      <w:bookmarkEnd w:id="84"/>
      <w:bookmarkEnd w:id="85"/>
      <w:bookmarkEnd w:id="86"/>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t>“</w:t>
      </w:r>
      <w:proofErr w:type="gramStart"/>
      <w:r w:rsidRPr="00F45668">
        <w:rPr>
          <w:rFonts w:hint="eastAsia"/>
        </w:rPr>
        <w:t>数据中心提供商</w:t>
      </w:r>
      <w:r w:rsidRPr="00F45668">
        <w:t>”</w:t>
      </w:r>
      <w:r w:rsidRPr="00F45668">
        <w:rPr>
          <w:rFonts w:hint="eastAsia"/>
        </w:rPr>
        <w:t>是指直接或间接为其他服务提供商提供基础结构或软件服务的实体</w:t>
      </w:r>
      <w:proofErr w:type="gramEnd"/>
      <w:r w:rsidRPr="00F45668">
        <w:rPr>
          <w:rFonts w:hint="eastAsia"/>
        </w:rPr>
        <w:t>。</w:t>
      </w:r>
    </w:p>
    <w:p w14:paraId="7BA634FA" w14:textId="27EAF668" w:rsidR="00537E72" w:rsidRPr="00F45668" w:rsidRDefault="00537E72" w:rsidP="00537E72">
      <w:pPr>
        <w:pStyle w:val="ProductList-Body"/>
        <w:tabs>
          <w:tab w:val="clear" w:pos="158"/>
          <w:tab w:val="left" w:pos="180"/>
        </w:tabs>
      </w:pPr>
      <w:r w:rsidRPr="00F45668">
        <w:t>“</w:t>
      </w:r>
      <w:proofErr w:type="gramStart"/>
      <w:r w:rsidRPr="00F45668">
        <w:rPr>
          <w:rFonts w:hint="eastAsia"/>
        </w:rPr>
        <w:t>所列提供商</w:t>
      </w:r>
      <w:r w:rsidRPr="00F45668">
        <w:t>”</w:t>
      </w:r>
      <w:r w:rsidRPr="00F45668">
        <w:rPr>
          <w:rFonts w:hint="eastAsia"/>
        </w:rPr>
        <w:t>包括在</w:t>
      </w:r>
      <w:proofErr w:type="gramEnd"/>
      <w:r w:rsidRPr="00F45668">
        <w:t> </w:t>
      </w:r>
      <w:hyperlink r:id="rId26" w:tgtFrame="_blank" w:history="1">
        <w:r w:rsidRPr="00302C7B">
          <w:rPr>
            <w:rStyle w:val="Hyperlink"/>
            <w:rFonts w:ascii="Calibri" w:hAnsi="Calibri" w:cs="Calibri"/>
            <w:szCs w:val="18"/>
            <w:bdr w:val="none" w:sz="0" w:space="0" w:color="auto" w:frame="1"/>
          </w:rPr>
          <w:t>http://aka.ms/listedproviders</w:t>
        </w:r>
      </w:hyperlink>
      <w:r w:rsidRPr="00F45668">
        <w:t> </w:t>
      </w:r>
      <w:r w:rsidRPr="00F45668">
        <w:rPr>
          <w:rFonts w:hint="eastAsia"/>
        </w:rPr>
        <w:t>上列明的实体</w:t>
      </w:r>
      <w:r w:rsidRPr="00F45668">
        <w:rPr>
          <w:rFonts w:hint="eastAsia"/>
          <w:lang w:eastAsia="en-US"/>
        </w:rPr>
        <w:t>以及</w:t>
      </w:r>
      <w:r w:rsidR="00305387" w:rsidRPr="00F45668">
        <w:rPr>
          <w:rFonts w:hint="eastAsia"/>
        </w:rPr>
        <w:t>基于</w:t>
      </w:r>
      <w:r w:rsidRPr="00F45668">
        <w:rPr>
          <w:rFonts w:hint="eastAsia"/>
          <w:lang w:eastAsia="en-US"/>
        </w:rPr>
        <w:t>这些所列提供商</w:t>
      </w:r>
      <w:r w:rsidR="00305387" w:rsidRPr="00F45668">
        <w:rPr>
          <w:rFonts w:hint="eastAsia"/>
        </w:rPr>
        <w:t>的</w:t>
      </w:r>
      <w:r w:rsidRPr="00F45668">
        <w:rPr>
          <w:rFonts w:hint="eastAsia"/>
          <w:lang w:eastAsia="en-US"/>
        </w:rPr>
        <w:t>技术</w:t>
      </w:r>
      <w:r w:rsidR="00D56717" w:rsidRPr="00F45668">
        <w:rPr>
          <w:rFonts w:hint="eastAsia"/>
          <w:lang w:eastAsia="en-US"/>
        </w:rPr>
        <w:t>在中国</w:t>
      </w:r>
      <w:r w:rsidR="00305387" w:rsidRPr="00F45668">
        <w:rPr>
          <w:rFonts w:hint="eastAsia"/>
        </w:rPr>
        <w:t>运营在线服务</w:t>
      </w:r>
      <w:r w:rsidRPr="00F45668">
        <w:rPr>
          <w:rFonts w:hint="eastAsia"/>
          <w:lang w:eastAsia="en-US"/>
        </w:rPr>
        <w:t>的任何本地实体。</w:t>
      </w:r>
      <w:hyperlink r:id="rId27" w:tgtFrame="_blank" w:history="1">
        <w:r w:rsidRPr="00302C7B">
          <w:rPr>
            <w:rStyle w:val="Hyperlink"/>
            <w:rFonts w:ascii="Calibri" w:hAnsi="Calibri" w:cs="Calibri"/>
            <w:szCs w:val="18"/>
            <w:bdr w:val="none" w:sz="0" w:space="0" w:color="auto" w:frame="1"/>
          </w:rPr>
          <w:t>http://aka.ms/listedproviders</w:t>
        </w:r>
      </w:hyperlink>
      <w:r w:rsidRPr="00713127">
        <w:rPr>
          <w:color w:val="0070C0"/>
        </w:rPr>
        <w:t> </w:t>
      </w:r>
      <w:r w:rsidRPr="00F45668">
        <w:rPr>
          <w:rFonts w:hint="eastAsia"/>
        </w:rPr>
        <w:t>上的所列提供商可能</w:t>
      </w:r>
      <w:r w:rsidRPr="00F45668">
        <w:rPr>
          <w:rFonts w:hint="eastAsia"/>
          <w:lang w:eastAsia="en-US"/>
        </w:rPr>
        <w:t>会</w:t>
      </w:r>
      <w:r w:rsidRPr="00F45668">
        <w:rPr>
          <w:rFonts w:hint="eastAsia"/>
        </w:rPr>
        <w:t>不时新增；如果客户</w:t>
      </w:r>
      <w:r w:rsidR="00F05872" w:rsidRPr="00F45668">
        <w:rPr>
          <w:rFonts w:hint="eastAsia"/>
        </w:rPr>
        <w:t>使用的外包商</w:t>
      </w:r>
      <w:r w:rsidRPr="00F45668">
        <w:rPr>
          <w:rFonts w:hint="eastAsia"/>
        </w:rPr>
        <w:t>的授权外包商状态终止，客户可以在状态更改之日起一年内</w:t>
      </w:r>
      <w:r w:rsidR="00A64775" w:rsidRPr="00F45668">
        <w:rPr>
          <w:rFonts w:hint="eastAsia"/>
        </w:rPr>
        <w:t>继续基于该外包商</w:t>
      </w:r>
      <w:r w:rsidRPr="00F45668">
        <w:rPr>
          <w:rFonts w:hint="eastAsia"/>
        </w:rPr>
        <w:t>之前授权外包商的身份使用</w:t>
      </w:r>
      <w:r w:rsidR="00A64775" w:rsidRPr="00F45668">
        <w:rPr>
          <w:rFonts w:hint="eastAsia"/>
        </w:rPr>
        <w:t>该</w:t>
      </w:r>
      <w:r w:rsidRPr="00F45668">
        <w:rPr>
          <w:rFonts w:hint="eastAsia"/>
        </w:rPr>
        <w:t>外包商。</w:t>
      </w:r>
    </w:p>
    <w:p w14:paraId="0689F478" w14:textId="77777777" w:rsidR="00537E72" w:rsidRPr="00F45668" w:rsidRDefault="00537E72" w:rsidP="00123E7D">
      <w:pPr>
        <w:pStyle w:val="ProductList-Body"/>
        <w:tabs>
          <w:tab w:val="clear" w:pos="158"/>
          <w:tab w:val="left" w:pos="180"/>
        </w:tabs>
        <w:rPr>
          <w:b/>
          <w:color w:val="00188F"/>
        </w:rPr>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7"/>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3B3E609" w:rsidR="007A78D1" w:rsidRPr="00F45668" w:rsidRDefault="007A78D1" w:rsidP="00FD705A">
      <w:pPr>
        <w:pStyle w:val="ProductList-Body"/>
        <w:numPr>
          <w:ilvl w:val="0"/>
          <w:numId w:val="7"/>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8"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proofErr w:type="gramStart"/>
      <w:r w:rsidRPr="00F45668">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7777777"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87" w:name="_Toc487134041"/>
      <w:bookmarkStart w:id="88" w:name="_Toc83388242"/>
      <w:r w:rsidRPr="00964D5F">
        <w:rPr>
          <w:rFonts w:hint="eastAsia"/>
        </w:rPr>
        <w:t xml:space="preserve">Office </w:t>
      </w:r>
      <w:bookmarkEnd w:id="87"/>
      <w:r w:rsidR="001203BA" w:rsidRPr="00964D5F">
        <w:t>for the web</w:t>
      </w:r>
      <w:bookmarkEnd w:id="88"/>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1B361293"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89" w:name="_Toc487134042"/>
      <w:bookmarkStart w:id="90" w:name="_Toc83388243"/>
      <w:r w:rsidRPr="008E2AD9">
        <w:rPr>
          <w:rFonts w:hint="eastAsia"/>
        </w:rPr>
        <w:t>OneDrive for Business</w:t>
      </w:r>
      <w:bookmarkEnd w:id="89"/>
      <w:bookmarkEnd w:id="90"/>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91" w:name="_Toc487134043"/>
      <w:bookmarkStart w:id="92" w:name="_Toc83388244"/>
      <w:bookmarkStart w:id="93" w:name="ProjectOnline"/>
      <w:r w:rsidRPr="008E2AD9">
        <w:rPr>
          <w:rFonts w:hint="eastAsia"/>
        </w:rPr>
        <w:t>Project Online</w:t>
      </w:r>
      <w:bookmarkEnd w:id="91"/>
      <w:bookmarkEnd w:id="92"/>
    </w:p>
    <w:bookmarkEnd w:id="93"/>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94" w:name="_Toc487134044"/>
      <w:bookmarkStart w:id="95" w:name="SharePointOnline"/>
      <w:bookmarkStart w:id="96" w:name="_Toc83388245"/>
      <w:r w:rsidRPr="008E2AD9">
        <w:rPr>
          <w:rFonts w:hint="eastAsia"/>
        </w:rPr>
        <w:t>SharePoint Online</w:t>
      </w:r>
      <w:bookmarkEnd w:id="94"/>
      <w:bookmarkEnd w:id="95"/>
      <w:bookmarkEnd w:id="96"/>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CCCB1D8" w:rsidR="0081293D" w:rsidRPr="008E2AD9" w:rsidRDefault="00CB6005" w:rsidP="0081293D">
      <w:pPr>
        <w:pStyle w:val="ProductList-Offering2Heading"/>
        <w:outlineLvl w:val="2"/>
      </w:pPr>
      <w:bookmarkStart w:id="97" w:name="SkypeforBusinessOnline"/>
      <w:bookmarkStart w:id="98" w:name="_Toc487134045"/>
      <w:bookmarkStart w:id="99" w:name="_Toc83388246"/>
      <w:r w:rsidRPr="008E2AD9">
        <w:rPr>
          <w:rFonts w:hint="eastAsia"/>
        </w:rPr>
        <w:t>Skype for Business Online</w:t>
      </w:r>
      <w:bookmarkEnd w:id="97"/>
      <w:bookmarkEnd w:id="98"/>
      <w:bookmarkEnd w:id="99"/>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A316D5"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lastRenderedPageBreak/>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0" w:name="OtherOnlineServices"/>
      <w:bookmarkStart w:id="101" w:name="_Toc487134047"/>
      <w:bookmarkStart w:id="102" w:name="_Toc83388247"/>
      <w:r w:rsidRPr="008E2AD9">
        <w:rPr>
          <w:rFonts w:hint="eastAsia"/>
        </w:rPr>
        <w:t>其他在线服务</w:t>
      </w:r>
      <w:bookmarkEnd w:id="100"/>
      <w:bookmarkEnd w:id="101"/>
      <w:bookmarkEnd w:id="102"/>
    </w:p>
    <w:p w14:paraId="7E3E6A80" w14:textId="0CC2BF6E" w:rsidR="004675CA" w:rsidRDefault="004675CA" w:rsidP="004675CA">
      <w:pPr>
        <w:pStyle w:val="ProductList-Offering2Heading"/>
        <w:outlineLvl w:val="2"/>
      </w:pPr>
      <w:bookmarkStart w:id="103" w:name="_Toc83388248"/>
      <w:bookmarkStart w:id="104" w:name="_Toc487134057"/>
      <w:r w:rsidRPr="001809C5">
        <w:t xml:space="preserve">Microsoft Power </w:t>
      </w:r>
      <w:r w:rsidR="00A12B20">
        <w:t>Platform</w:t>
      </w:r>
      <w:bookmarkEnd w:id="103"/>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29"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0"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05" w:name="_Toc36481045"/>
      <w:bookmarkStart w:id="106" w:name="_Toc41399551"/>
      <w:bookmarkStart w:id="107" w:name="_Toc83388249"/>
      <w:r w:rsidRPr="00380528">
        <w:rPr>
          <w:lang w:val="pt-BR"/>
        </w:rPr>
        <w:t>Microsoft Intune</w:t>
      </w:r>
      <w:bookmarkEnd w:id="105"/>
      <w:bookmarkEnd w:id="106"/>
      <w:bookmarkEnd w:id="107"/>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lastRenderedPageBreak/>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08"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08"/>
      <w:r w:rsidR="00711E6A">
        <w:br w:type="page"/>
      </w:r>
    </w:p>
    <w:p w14:paraId="4F45F791" w14:textId="5679E181" w:rsidR="00844DB9" w:rsidRPr="008E2AD9" w:rsidRDefault="00844DB9" w:rsidP="00844DB9">
      <w:pPr>
        <w:pStyle w:val="ProductList-SectionHeading"/>
        <w:outlineLvl w:val="0"/>
      </w:pPr>
      <w:bookmarkStart w:id="109" w:name="_Toc83388250"/>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09"/>
    </w:p>
    <w:p w14:paraId="4A374746" w14:textId="77777777" w:rsidR="00844DB9" w:rsidRPr="008E2AD9" w:rsidRDefault="00844DB9" w:rsidP="00844DB9">
      <w:pPr>
        <w:pStyle w:val="ProductList-SubSubSectionHeading"/>
        <w:outlineLvl w:val="1"/>
      </w:pPr>
      <w:bookmarkStart w:id="110" w:name="_Toc83388251"/>
      <w:r w:rsidRPr="008E2AD9">
        <w:rPr>
          <w:rFonts w:hint="eastAsia"/>
        </w:rPr>
        <w:t>Microsoft Azure</w:t>
      </w:r>
      <w:bookmarkEnd w:id="11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11" w:name="_Toc83388252"/>
      <w:r>
        <w:t>Microsoft Dynamics 365</w:t>
      </w:r>
      <w:bookmarkEnd w:id="11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4D86CE0E" w14:textId="2D6E2D7C" w:rsidR="00561A14" w:rsidRPr="00BE1F18" w:rsidRDefault="00117ED4" w:rsidP="00561A14">
            <w:pPr>
              <w:numPr>
                <w:ilvl w:val="1"/>
                <w:numId w:val="12"/>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BE1F18" w:rsidRDefault="008F5F68" w:rsidP="00561A14">
            <w:pPr>
              <w:numPr>
                <w:ilvl w:val="1"/>
                <w:numId w:val="12"/>
              </w:numPr>
              <w:spacing w:before="120" w:after="0" w:line="240" w:lineRule="auto"/>
              <w:rPr>
                <w:rFonts w:cs="Tahoma"/>
                <w:sz w:val="18"/>
                <w:szCs w:val="18"/>
              </w:rPr>
            </w:pPr>
            <w:r w:rsidRPr="00BE1F18">
              <w:rPr>
                <w:rFonts w:cs="Tahoma"/>
                <w:sz w:val="18"/>
                <w:szCs w:val="18"/>
              </w:rPr>
              <w:t>Power Apps per App (1 App or portal)</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BE1F18">
              <w:rPr>
                <w:rFonts w:cs="Tahoma"/>
                <w:sz w:val="18"/>
                <w:szCs w:val="18"/>
              </w:rPr>
              <w:t>Add-ons: Power Apps and Power Automate Capacity Add</w:t>
            </w:r>
            <w:r w:rsidRPr="0021539D">
              <w:rPr>
                <w:rFonts w:cs="Tahoma"/>
                <w:sz w:val="18"/>
                <w:szCs w:val="18"/>
              </w:rPr>
              <w:t>-on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12" w:name="_Toc83388253"/>
      <w:r>
        <w:rPr>
          <w:rFonts w:hint="eastAsia"/>
        </w:rPr>
        <w:t>Office</w:t>
      </w:r>
      <w:r w:rsidR="00054D02">
        <w:t xml:space="preserve"> </w:t>
      </w:r>
      <w:r w:rsidR="00844DB9" w:rsidRPr="008E2AD9">
        <w:rPr>
          <w:rFonts w:hint="eastAsia"/>
        </w:rPr>
        <w:t>365</w:t>
      </w:r>
      <w:bookmarkEnd w:id="11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bookmarkStart w:id="113" w:name="_Hlk61959261"/>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bookmarkEnd w:id="113"/>
      <w:r w:rsidR="003F2BA0" w:rsidRPr="00FD705A">
        <w:rPr>
          <w:rFonts w:hint="eastAsia"/>
          <w:b/>
          <w:sz w:val="18"/>
          <w:szCs w:val="18"/>
        </w:rPr>
        <w:t>。</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A327960" w14:textId="0804B2FA" w:rsidR="0039406D" w:rsidRPr="00DD6C9E" w:rsidRDefault="0039406D" w:rsidP="0039406D">
            <w:pPr>
              <w:pStyle w:val="ListParagraph"/>
              <w:numPr>
                <w:ilvl w:val="0"/>
                <w:numId w:val="12"/>
              </w:numPr>
              <w:rPr>
                <w:sz w:val="18"/>
                <w:szCs w:val="18"/>
              </w:rPr>
            </w:pPr>
            <w:r w:rsidRPr="00DD6C9E">
              <w:rPr>
                <w:sz w:val="18"/>
                <w:szCs w:val="18"/>
              </w:rPr>
              <w:t>Enterprise Mobility + Security E3 (User SL)</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1806B1">
            <w:pPr>
              <w:numPr>
                <w:ilvl w:val="0"/>
                <w:numId w:val="12"/>
              </w:numPr>
              <w:spacing w:after="0" w:line="240" w:lineRule="auto"/>
            </w:pPr>
            <w:r w:rsidRPr="00226793">
              <w:rPr>
                <w:sz w:val="18"/>
              </w:rPr>
              <w:t>Exchange Online Plan 1</w:t>
            </w:r>
          </w:p>
          <w:p w14:paraId="4D92873A" w14:textId="77777777" w:rsidR="008566F9" w:rsidRPr="00226793" w:rsidRDefault="008566F9" w:rsidP="001806B1">
            <w:pPr>
              <w:numPr>
                <w:ilvl w:val="0"/>
                <w:numId w:val="12"/>
              </w:numPr>
              <w:spacing w:after="0" w:line="240" w:lineRule="auto"/>
            </w:pPr>
            <w:r w:rsidRPr="00226793">
              <w:rPr>
                <w:sz w:val="18"/>
              </w:rPr>
              <w:t>Exchange Online Plan 2</w:t>
            </w:r>
          </w:p>
          <w:p w14:paraId="095A8E45" w14:textId="77777777" w:rsidR="008566F9" w:rsidRPr="00226793" w:rsidRDefault="008566F9" w:rsidP="001806B1">
            <w:pPr>
              <w:numPr>
                <w:ilvl w:val="0"/>
                <w:numId w:val="12"/>
              </w:numPr>
              <w:spacing w:after="0" w:line="240" w:lineRule="auto"/>
            </w:pPr>
            <w:r w:rsidRPr="00226793">
              <w:rPr>
                <w:sz w:val="18"/>
              </w:rPr>
              <w:t>SharePoint Online Plan 1</w:t>
            </w:r>
          </w:p>
          <w:p w14:paraId="7210AA81" w14:textId="77777777" w:rsidR="008566F9" w:rsidRPr="00226793" w:rsidRDefault="008566F9" w:rsidP="001806B1">
            <w:pPr>
              <w:numPr>
                <w:ilvl w:val="0"/>
                <w:numId w:val="12"/>
              </w:numPr>
              <w:spacing w:after="0" w:line="240" w:lineRule="auto"/>
            </w:pPr>
            <w:r w:rsidRPr="00226793">
              <w:rPr>
                <w:sz w:val="18"/>
              </w:rPr>
              <w:t>SharePoint Online Plan 2</w:t>
            </w:r>
          </w:p>
          <w:p w14:paraId="046A14F9" w14:textId="77777777" w:rsidR="008566F9" w:rsidRPr="00226793" w:rsidRDefault="008566F9" w:rsidP="001806B1">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1806B1">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1806B1">
            <w:pPr>
              <w:numPr>
                <w:ilvl w:val="0"/>
                <w:numId w:val="12"/>
              </w:numPr>
              <w:spacing w:after="0" w:line="240" w:lineRule="auto"/>
            </w:pPr>
            <w:r w:rsidRPr="00226793">
              <w:rPr>
                <w:sz w:val="18"/>
              </w:rPr>
              <w:t>Exchange Online Kiosk</w:t>
            </w:r>
          </w:p>
          <w:p w14:paraId="2F359B4C" w14:textId="5E3B05E7" w:rsidR="008566F9" w:rsidRPr="00226793" w:rsidRDefault="008566F9" w:rsidP="001806B1">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1806B1">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1806B1">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1806B1">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1806B1">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1806B1">
            <w:pPr>
              <w:numPr>
                <w:ilvl w:val="0"/>
                <w:numId w:val="12"/>
              </w:numPr>
              <w:spacing w:after="0" w:line="240" w:lineRule="auto"/>
            </w:pPr>
            <w:r>
              <w:rPr>
                <w:rFonts w:cs="Tahoma"/>
                <w:sz w:val="18"/>
                <w:szCs w:val="18"/>
              </w:rPr>
              <w:t>Power BI Pro</w:t>
            </w:r>
          </w:p>
          <w:p w14:paraId="5EA8F118"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1806B1">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pPr>
              <w:numPr>
                <w:ilvl w:val="0"/>
                <w:numId w:val="12"/>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1806B1">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1806B1">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1806B1">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1806B1">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1806B1">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1806B1">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1806B1">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1806B1">
            <w:pPr>
              <w:numPr>
                <w:ilvl w:val="0"/>
                <w:numId w:val="12"/>
              </w:numPr>
              <w:spacing w:after="0" w:line="240" w:lineRule="auto"/>
            </w:pPr>
            <w:r>
              <w:rPr>
                <w:rFonts w:hint="eastAsia"/>
                <w:sz w:val="18"/>
              </w:rPr>
              <w:lastRenderedPageBreak/>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1806B1">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1806B1">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1806B1">
            <w:pPr>
              <w:numPr>
                <w:ilvl w:val="0"/>
                <w:numId w:val="12"/>
              </w:numPr>
              <w:spacing w:after="0" w:line="240" w:lineRule="auto"/>
              <w:rPr>
                <w:rFonts w:eastAsiaTheme="minorEastAsia"/>
                <w:sz w:val="18"/>
              </w:rPr>
            </w:pPr>
            <w:r w:rsidRPr="0021539D" w:rsidDel="0064095A">
              <w:rPr>
                <w:rFonts w:eastAsiaTheme="minorEastAsia"/>
                <w:sz w:val="18"/>
              </w:rPr>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E25E857" w14:textId="77777777" w:rsidR="001D507E" w:rsidRPr="00DD6C9E" w:rsidRDefault="00CB54E3" w:rsidP="001806B1">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p w14:paraId="6480654E" w14:textId="4DFE663C" w:rsidR="007F02DE" w:rsidRPr="0021539D" w:rsidRDefault="007F02DE" w:rsidP="001806B1">
            <w:pPr>
              <w:numPr>
                <w:ilvl w:val="0"/>
                <w:numId w:val="12"/>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14" w:name="_Toc83388254"/>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14"/>
    </w:p>
    <w:p w14:paraId="73D329D6" w14:textId="6F8863A0" w:rsidR="00B93883" w:rsidRPr="00A34B86" w:rsidRDefault="00B32841" w:rsidP="00B93883">
      <w:pPr>
        <w:pStyle w:val="F2VlAmend-Body-After-Table"/>
        <w:keepNext/>
        <w:spacing w:after="120"/>
        <w:rPr>
          <w:rFonts w:eastAsia="SimSun"/>
          <w:lang w:val="en-US"/>
        </w:rPr>
      </w:pPr>
      <w:bookmarkStart w:id="115"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15"/>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48A8A533" w14:textId="77777777" w:rsidR="00684D21" w:rsidRPr="00DD6C9E" w:rsidRDefault="00684D21" w:rsidP="003E1552">
            <w:pPr>
              <w:numPr>
                <w:ilvl w:val="0"/>
                <w:numId w:val="12"/>
              </w:numPr>
              <w:spacing w:after="0" w:line="240" w:lineRule="auto"/>
              <w:rPr>
                <w:rFonts w:cs="Arial"/>
                <w:sz w:val="18"/>
                <w:szCs w:val="18"/>
              </w:rPr>
            </w:pPr>
            <w:r w:rsidRPr="00DD6C9E">
              <w:rPr>
                <w:rFonts w:eastAsiaTheme="minorEastAsia" w:hint="eastAsia"/>
                <w:sz w:val="18"/>
              </w:rPr>
              <w:t>适用于学生的</w:t>
            </w:r>
            <w:r w:rsidRPr="00DD6C9E">
              <w:rPr>
                <w:rFonts w:eastAsiaTheme="minorEastAsia"/>
                <w:sz w:val="18"/>
              </w:rPr>
              <w:t>Microsoft Intune (per user)</w:t>
            </w:r>
          </w:p>
          <w:p w14:paraId="1199C535" w14:textId="3AB7FF8B" w:rsidR="00DE70E9" w:rsidRPr="00DD6C9E" w:rsidRDefault="00DE70E9" w:rsidP="00DE70E9">
            <w:pPr>
              <w:numPr>
                <w:ilvl w:val="0"/>
                <w:numId w:val="12"/>
              </w:numPr>
              <w:spacing w:after="0" w:line="240" w:lineRule="auto"/>
              <w:rPr>
                <w:rFonts w:cs="Arial"/>
                <w:sz w:val="18"/>
                <w:szCs w:val="18"/>
              </w:rPr>
            </w:pPr>
            <w:r w:rsidRPr="00DD6C9E">
              <w:rPr>
                <w:rFonts w:eastAsiaTheme="minorEastAsia" w:hint="eastAsia"/>
                <w:sz w:val="18"/>
              </w:rPr>
              <w:t>适用于教职员工的</w:t>
            </w:r>
            <w:r w:rsidRPr="00DD6C9E">
              <w:rPr>
                <w:rFonts w:cs="Arial"/>
                <w:sz w:val="18"/>
                <w:szCs w:val="18"/>
              </w:rPr>
              <w:t>Azure Information Protection Premium Plan 1 (User SL)</w:t>
            </w:r>
          </w:p>
          <w:p w14:paraId="2291362C" w14:textId="06E9E5D9" w:rsidR="00DE70E9" w:rsidRPr="009410C7" w:rsidRDefault="00DE70E9" w:rsidP="00DE70E9">
            <w:pPr>
              <w:numPr>
                <w:ilvl w:val="0"/>
                <w:numId w:val="12"/>
              </w:numPr>
              <w:spacing w:after="0" w:line="240" w:lineRule="auto"/>
              <w:rPr>
                <w:rFonts w:cs="Arial"/>
                <w:sz w:val="18"/>
                <w:szCs w:val="18"/>
              </w:rPr>
            </w:pPr>
            <w:r w:rsidRPr="00DD6C9E">
              <w:rPr>
                <w:rFonts w:eastAsiaTheme="minorEastAsia" w:hint="eastAsia"/>
                <w:sz w:val="18"/>
              </w:rPr>
              <w:lastRenderedPageBreak/>
              <w:t>适用于学生的</w:t>
            </w:r>
            <w:r w:rsidRPr="00DD6C9E">
              <w:rPr>
                <w:rFonts w:cs="Arial"/>
                <w:sz w:val="18"/>
                <w:szCs w:val="18"/>
              </w:rPr>
              <w:t>Azure Information Protection Premium Plan 1 (User SL)</w:t>
            </w:r>
          </w:p>
        </w:tc>
        <w:tc>
          <w:tcPr>
            <w:tcW w:w="4680" w:type="dxa"/>
            <w:tcBorders>
              <w:top w:val="nil"/>
              <w:left w:val="single" w:sz="8" w:space="0" w:color="auto"/>
              <w:bottom w:val="single" w:sz="4" w:space="0" w:color="auto"/>
              <w:right w:val="single" w:sz="8" w:space="0" w:color="auto"/>
            </w:tcBorders>
          </w:tcPr>
          <w:p w14:paraId="37D7EC9C" w14:textId="004CF3B8" w:rsidR="00443FE5" w:rsidRPr="00FA33C3" w:rsidRDefault="000753E3" w:rsidP="00804DAA">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16" w:name="_Toc83388255"/>
      <w:r w:rsidRPr="008E2AD9">
        <w:rPr>
          <w:rFonts w:hint="eastAsia"/>
        </w:rPr>
        <w:t>世纪互联产品可用性定义</w:t>
      </w:r>
      <w:bookmarkEnd w:id="116"/>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lastRenderedPageBreak/>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Pr="00697D62" w:rsidRDefault="00D67A4B" w:rsidP="00233C87">
      <w:pPr>
        <w:pStyle w:val="ProductList-SectionHeading"/>
        <w:outlineLvl w:val="0"/>
      </w:pPr>
      <w:bookmarkStart w:id="117" w:name="Attachment1"/>
      <w:bookmarkStart w:id="118" w:name="_Toc83388256"/>
      <w:bookmarkEnd w:id="117"/>
      <w:r w:rsidRPr="00697D62">
        <w:rPr>
          <w:rFonts w:hint="eastAsia"/>
        </w:rPr>
        <w:lastRenderedPageBreak/>
        <w:t>附件</w:t>
      </w:r>
      <w:r w:rsidRPr="00697D62">
        <w:rPr>
          <w:rFonts w:hint="eastAsia"/>
        </w:rPr>
        <w:t xml:space="preserve"> 1</w:t>
      </w:r>
      <w:r w:rsidRPr="00697D62">
        <w:rPr>
          <w:rFonts w:hint="eastAsia"/>
        </w:rPr>
        <w:t>——声明</w:t>
      </w:r>
      <w:bookmarkEnd w:id="104"/>
      <w:bookmarkEnd w:id="118"/>
    </w:p>
    <w:p w14:paraId="6B7DCFEA" w14:textId="67884488" w:rsidR="000B2C11" w:rsidRPr="00697D62" w:rsidRDefault="00B77E73" w:rsidP="00453B74">
      <w:pPr>
        <w:pStyle w:val="ProductList-Offering1Heading"/>
        <w:outlineLvl w:val="1"/>
      </w:pPr>
      <w:bookmarkStart w:id="119" w:name="_Toc83388257"/>
      <w:bookmarkStart w:id="120" w:name="_Toc2175666"/>
      <w:r w:rsidRPr="00697D62">
        <w:rPr>
          <w:rFonts w:hint="eastAsia"/>
        </w:rPr>
        <w:t>不在</w:t>
      </w:r>
      <w:r w:rsidRPr="00697D62">
        <w:rPr>
          <w:rFonts w:hint="eastAsia"/>
        </w:rPr>
        <w:t>DPA</w:t>
      </w:r>
      <w:r w:rsidRPr="00697D62">
        <w:rPr>
          <w:rFonts w:hint="eastAsia"/>
        </w:rPr>
        <w:t>范围内的在线服务</w:t>
      </w:r>
      <w:bookmarkEnd w:id="119"/>
    </w:p>
    <w:p w14:paraId="549E29AF" w14:textId="531897A2" w:rsidR="000B2C11" w:rsidRPr="00697D62" w:rsidRDefault="000B2C11" w:rsidP="00AF515D">
      <w:pPr>
        <w:pStyle w:val="ProductList-Body"/>
      </w:pPr>
      <w:bookmarkStart w:id="121"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21"/>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22" w:name="_Toc83388258"/>
      <w:r w:rsidRPr="00697D62">
        <w:rPr>
          <w:rFonts w:hint="eastAsia"/>
        </w:rPr>
        <w:t>核心在线服务</w:t>
      </w:r>
      <w:bookmarkEnd w:id="122"/>
    </w:p>
    <w:p w14:paraId="0A27C78C" w14:textId="78C78CC4" w:rsidR="000B2C11" w:rsidRPr="00697D62" w:rsidRDefault="000B2C11" w:rsidP="00AF515D">
      <w:pPr>
        <w:pStyle w:val="ProductList-Body"/>
      </w:pPr>
      <w:bookmarkStart w:id="123" w:name="_Toc74327577"/>
      <w:r w:rsidRPr="00697D62">
        <w:t>“</w:t>
      </w:r>
      <w:proofErr w:type="gramStart"/>
      <w:r w:rsidRPr="00697D62">
        <w:rPr>
          <w:rFonts w:hint="eastAsia"/>
        </w:rPr>
        <w:t>核心在线服务</w:t>
      </w:r>
      <w:r w:rsidRPr="00697D62">
        <w:t>”</w:t>
      </w:r>
      <w:r w:rsidRPr="00697D62">
        <w:rPr>
          <w:rFonts w:hint="eastAsia"/>
        </w:rPr>
        <w:t>一词仅适用于下表中的服务</w:t>
      </w:r>
      <w:proofErr w:type="gramEnd"/>
      <w:r w:rsidRPr="00697D62">
        <w:rPr>
          <w:rFonts w:hint="eastAsia"/>
        </w:rPr>
        <w:t>，不包括任何预览版。</w:t>
      </w:r>
      <w:bookmarkEnd w:id="123"/>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rsidTr="00486635">
        <w:trPr>
          <w:tblHeader/>
        </w:trPr>
        <w:tc>
          <w:tcPr>
            <w:tcW w:w="10800" w:type="dxa"/>
            <w:gridSpan w:val="2"/>
            <w:shd w:val="clear" w:color="auto" w:fill="0072C6"/>
          </w:tcPr>
          <w:p w14:paraId="5C7504B7" w14:textId="77777777" w:rsidR="000B2C11" w:rsidRPr="00697D62" w:rsidRDefault="000B2C11" w:rsidP="00486635">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rsidTr="00486635">
        <w:tc>
          <w:tcPr>
            <w:tcW w:w="2610" w:type="dxa"/>
            <w:vAlign w:val="center"/>
          </w:tcPr>
          <w:p w14:paraId="6D23343D"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rsidTr="00486635">
        <w:tc>
          <w:tcPr>
            <w:tcW w:w="2610" w:type="dxa"/>
            <w:vAlign w:val="center"/>
          </w:tcPr>
          <w:p w14:paraId="6F8976A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5BE4B666"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Pr="00BE1F18">
              <w:rPr>
                <w:rFonts w:ascii="Calibri" w:hAnsi="Calibri" w:cs="Times New Roman" w:hint="eastAsia"/>
                <w:sz w:val="16"/>
                <w:szCs w:val="16"/>
              </w:rPr>
              <w:t>、</w:t>
            </w:r>
            <w:r w:rsidRPr="00BE1F18">
              <w:rPr>
                <w:rFonts w:ascii="Calibri" w:hAnsi="Calibri" w:cs="Times New Roman" w:hint="eastAsia"/>
                <w:sz w:val="16"/>
                <w:szCs w:val="16"/>
              </w:rPr>
              <w:t>SharePoint Online</w:t>
            </w:r>
            <w:r w:rsidRPr="00BE1F18">
              <w:rPr>
                <w:rFonts w:ascii="Calibri" w:hAnsi="Calibri" w:cs="Times New Roman"/>
                <w:sz w:val="16"/>
                <w:szCs w:val="16"/>
              </w:rPr>
              <w:t>以及</w:t>
            </w:r>
            <w:r w:rsidRPr="00BE1F18">
              <w:rPr>
                <w:rFonts w:ascii="Calibri" w:hAnsi="Calibri" w:cs="Times New Roman" w:hint="eastAsia"/>
                <w:sz w:val="16"/>
                <w:szCs w:val="16"/>
              </w:rPr>
              <w:t>Skype for Business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rsidTr="00486635">
        <w:tc>
          <w:tcPr>
            <w:tcW w:w="2610" w:type="dxa"/>
            <w:vAlign w:val="center"/>
          </w:tcPr>
          <w:p w14:paraId="422B8C15"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31F91EB0" w:rsidR="000B2C11" w:rsidRPr="00BE1F18" w:rsidRDefault="000B2C11" w:rsidP="00486635">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Pr="00BE1F18">
              <w:rPr>
                <w:rFonts w:ascii="Calibri" w:hAnsi="Calibri" w:cs="Times New Roman" w:hint="eastAsia"/>
                <w:sz w:val="16"/>
                <w:szCs w:val="16"/>
              </w:rPr>
              <w:t>Azure Active Directory</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rsidTr="00486635">
        <w:tc>
          <w:tcPr>
            <w:tcW w:w="2610" w:type="dxa"/>
            <w:vAlign w:val="center"/>
          </w:tcPr>
          <w:p w14:paraId="0200C790"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rsidTr="00486635">
        <w:tc>
          <w:tcPr>
            <w:tcW w:w="2610" w:type="dxa"/>
            <w:vAlign w:val="center"/>
          </w:tcPr>
          <w:p w14:paraId="365F48C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rsidTr="00486635">
        <w:tc>
          <w:tcPr>
            <w:tcW w:w="2610" w:type="dxa"/>
            <w:vAlign w:val="center"/>
          </w:tcPr>
          <w:p w14:paraId="2C225741" w14:textId="77777777" w:rsidR="000B2C11" w:rsidRPr="00697D62" w:rsidRDefault="000B2C11" w:rsidP="00486635">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77777777" w:rsidR="000B2C11" w:rsidRPr="00697D62" w:rsidRDefault="000B2C11" w:rsidP="00486635">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24" w:name="_Toc74327578"/>
    </w:p>
    <w:p w14:paraId="478C3468" w14:textId="380F1D68" w:rsidR="0031112A" w:rsidRPr="00FE04B8" w:rsidRDefault="0031112A" w:rsidP="00E335BE">
      <w:pPr>
        <w:pStyle w:val="ProductList-Offering1Heading"/>
        <w:outlineLvl w:val="1"/>
      </w:pPr>
      <w:bookmarkStart w:id="125" w:name="_Toc83388259"/>
      <w:r w:rsidRPr="00697D62">
        <w:t>Bing Maps</w:t>
      </w:r>
      <w:bookmarkEnd w:id="120"/>
      <w:bookmarkEnd w:id="124"/>
      <w:bookmarkEnd w:id="125"/>
    </w:p>
    <w:p w14:paraId="058CBF3A" w14:textId="6B57D845" w:rsidR="00FE04B8" w:rsidRDefault="00FE04B8" w:rsidP="0031112A">
      <w:pPr>
        <w:pStyle w:val="ProductList-Body"/>
      </w:pPr>
      <w:bookmarkStart w:id="12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go.microsoft.com/fwlink/?LinkID=248686</w:t>
        </w:r>
      </w:hyperlink>
      <w:r w:rsidRPr="00FE04B8">
        <w:t>）。</w:t>
      </w:r>
    </w:p>
    <w:bookmarkEnd w:id="12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27" w:name="_Toc487134060"/>
      <w:bookmarkStart w:id="128" w:name="_Toc74327579"/>
      <w:bookmarkStart w:id="129" w:name="_Toc8338826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27"/>
      <w:bookmarkEnd w:id="128"/>
      <w:bookmarkEnd w:id="129"/>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30" w:name="_Toc516239428"/>
      <w:bookmarkStart w:id="131" w:name="_Toc74327580"/>
      <w:bookmarkStart w:id="132" w:name="_Toc83388261"/>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30"/>
      <w:bookmarkEnd w:id="131"/>
      <w:bookmarkEnd w:id="132"/>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4"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33" w:name="_Toc507349543"/>
      <w:bookmarkStart w:id="134" w:name="Attachment2"/>
      <w:bookmarkStart w:id="135" w:name="_Toc487134064"/>
      <w:bookmarkStart w:id="136"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37" w:name="_Toc74327581"/>
      <w:bookmarkStart w:id="138" w:name="_Toc83388262"/>
      <w:r w:rsidRPr="008E2AD9">
        <w:rPr>
          <w:rFonts w:hint="eastAsia"/>
        </w:rPr>
        <w:lastRenderedPageBreak/>
        <w:t>附件</w:t>
      </w:r>
      <w:r w:rsidRPr="008E2AD9">
        <w:rPr>
          <w:rFonts w:hint="eastAsia"/>
        </w:rPr>
        <w:t xml:space="preserve"> 2</w:t>
      </w:r>
      <w:r w:rsidRPr="008E2AD9">
        <w:rPr>
          <w:rFonts w:hint="eastAsia"/>
        </w:rPr>
        <w:t>——订购许可套件</w:t>
      </w:r>
      <w:bookmarkEnd w:id="133"/>
      <w:bookmarkEnd w:id="137"/>
      <w:bookmarkEnd w:id="138"/>
    </w:p>
    <w:bookmarkEnd w:id="134"/>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35"/>
    <w:bookmarkEnd w:id="136"/>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7387" w14:textId="77777777" w:rsidR="00C211EC" w:rsidRDefault="00C211EC" w:rsidP="009A573F">
      <w:pPr>
        <w:spacing w:after="0" w:line="240" w:lineRule="auto"/>
      </w:pPr>
      <w:r>
        <w:separator/>
      </w:r>
    </w:p>
    <w:p w14:paraId="399DEF24" w14:textId="77777777" w:rsidR="00C211EC" w:rsidRDefault="00C211EC" w:rsidP="00C91713"/>
  </w:endnote>
  <w:endnote w:type="continuationSeparator" w:id="0">
    <w:p w14:paraId="4DDCD184" w14:textId="77777777" w:rsidR="00C211EC" w:rsidRDefault="00C211EC" w:rsidP="009A573F">
      <w:pPr>
        <w:spacing w:after="0" w:line="240" w:lineRule="auto"/>
      </w:pPr>
      <w:r>
        <w:continuationSeparator/>
      </w:r>
    </w:p>
    <w:p w14:paraId="2B5E97A3" w14:textId="77777777" w:rsidR="00C211EC" w:rsidRDefault="00C211EC" w:rsidP="00C91713"/>
  </w:endnote>
  <w:endnote w:type="continuationNotice" w:id="1">
    <w:p w14:paraId="0768585D" w14:textId="77777777" w:rsidR="00C211EC" w:rsidRDefault="00C211EC">
      <w:pPr>
        <w:spacing w:after="0" w:line="240" w:lineRule="auto"/>
      </w:pPr>
    </w:p>
    <w:p w14:paraId="4912957E" w14:textId="77777777" w:rsidR="00C211EC" w:rsidRDefault="00C211EC"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A316D5" w:rsidP="005C51AC">
          <w:pPr>
            <w:pStyle w:val="ProductList-OfferingBody"/>
            <w:ind w:left="-77" w:right="-73"/>
            <w:jc w:val="center"/>
            <w:rPr>
              <w:color w:val="808080" w:themeColor="background1" w:themeShade="80"/>
              <w:sz w:val="14"/>
              <w:szCs w:val="14"/>
            </w:rPr>
          </w:pPr>
          <w:hyperlink w:anchor="TableofContents" w:history="1">
            <w:r w:rsidR="00857F6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A316D5" w:rsidP="005C51AC">
          <w:pPr>
            <w:pStyle w:val="ProductList-OfferingBody"/>
            <w:ind w:left="-72" w:right="-74"/>
            <w:jc w:val="center"/>
            <w:rPr>
              <w:color w:val="808080" w:themeColor="background1" w:themeShade="80"/>
              <w:sz w:val="14"/>
              <w:szCs w:val="14"/>
            </w:rPr>
          </w:pPr>
          <w:hyperlink w:anchor="Introduction" w:history="1">
            <w:r w:rsidR="00857F6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A316D5" w:rsidP="005C51AC">
          <w:pPr>
            <w:pStyle w:val="ProductList-OfferingBody"/>
            <w:ind w:left="-72" w:right="-75"/>
            <w:jc w:val="center"/>
            <w:rPr>
              <w:color w:val="808080" w:themeColor="background1" w:themeShade="80"/>
              <w:sz w:val="14"/>
              <w:szCs w:val="14"/>
            </w:rPr>
          </w:pPr>
          <w:hyperlink w:anchor="GeneralTerms" w:history="1">
            <w:r w:rsidR="00857F6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A316D5" w:rsidP="005C51AC">
          <w:pPr>
            <w:pStyle w:val="ProductList-OfferingBody"/>
            <w:ind w:left="-72" w:right="-77"/>
            <w:jc w:val="center"/>
            <w:rPr>
              <w:color w:val="808080" w:themeColor="background1" w:themeShade="80"/>
              <w:sz w:val="14"/>
              <w:szCs w:val="14"/>
            </w:rPr>
          </w:pPr>
          <w:hyperlink w:anchor="PrivacyandSecurityTerms" w:history="1">
            <w:r w:rsidR="00857F6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A316D5" w:rsidP="005C51AC">
          <w:pPr>
            <w:pStyle w:val="ProductList-OfferingBody"/>
            <w:ind w:left="-72" w:right="-77"/>
            <w:jc w:val="center"/>
            <w:rPr>
              <w:color w:val="808080" w:themeColor="background1" w:themeShade="80"/>
              <w:sz w:val="14"/>
              <w:szCs w:val="14"/>
            </w:rPr>
          </w:pPr>
          <w:hyperlink w:anchor="OnlineServiceSpecificTerms" w:history="1">
            <w:r w:rsidR="00857F6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A316D5" w:rsidP="005C51AC">
          <w:pPr>
            <w:pStyle w:val="ProductList-OfferingBody"/>
            <w:ind w:left="-72" w:right="-76"/>
            <w:jc w:val="center"/>
            <w:rPr>
              <w:color w:val="808080" w:themeColor="background1" w:themeShade="80"/>
              <w:sz w:val="14"/>
              <w:szCs w:val="14"/>
            </w:rPr>
          </w:pPr>
          <w:hyperlink w:anchor="Attachment1" w:history="1">
            <w:r w:rsidR="00857F69">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B747" w14:textId="77777777" w:rsidR="00C211EC" w:rsidRDefault="00C211EC" w:rsidP="009A573F">
      <w:pPr>
        <w:spacing w:after="0" w:line="240" w:lineRule="auto"/>
      </w:pPr>
      <w:r>
        <w:separator/>
      </w:r>
    </w:p>
    <w:p w14:paraId="4EBDFD0D" w14:textId="77777777" w:rsidR="00C211EC" w:rsidRDefault="00C211EC" w:rsidP="00C91713"/>
  </w:footnote>
  <w:footnote w:type="continuationSeparator" w:id="0">
    <w:p w14:paraId="7EA4C59D" w14:textId="77777777" w:rsidR="00C211EC" w:rsidRDefault="00C211EC" w:rsidP="009A573F">
      <w:pPr>
        <w:spacing w:after="0" w:line="240" w:lineRule="auto"/>
      </w:pPr>
      <w:r>
        <w:continuationSeparator/>
      </w:r>
    </w:p>
    <w:p w14:paraId="123E22BB" w14:textId="77777777" w:rsidR="00C211EC" w:rsidRDefault="00C211EC" w:rsidP="00C91713"/>
  </w:footnote>
  <w:footnote w:type="continuationNotice" w:id="1">
    <w:p w14:paraId="15826656" w14:textId="77777777" w:rsidR="00C211EC" w:rsidRDefault="00C211EC">
      <w:pPr>
        <w:spacing w:after="0" w:line="240" w:lineRule="auto"/>
      </w:pPr>
    </w:p>
    <w:p w14:paraId="469CA338" w14:textId="77777777" w:rsidR="00C211EC" w:rsidRDefault="00C211EC"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68BAC728"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Pr>
            <w:rFonts w:hint="eastAsia"/>
          </w:rPr>
          <w:t>20</w:t>
        </w:r>
        <w:r>
          <w:t>21</w:t>
        </w:r>
        <w:r>
          <w:rPr>
            <w:rFonts w:hint="eastAsia"/>
          </w:rPr>
          <w:t xml:space="preserve"> </w:t>
        </w:r>
        <w:r>
          <w:rPr>
            <w:rFonts w:hint="eastAsia"/>
          </w:rPr>
          <w:t>年</w:t>
        </w:r>
        <w:r w:rsidR="00183D6C">
          <w:t>10</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1B289469"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Pr>
            <w:rFonts w:hint="eastAsia"/>
          </w:rPr>
          <w:t>20</w:t>
        </w:r>
        <w:r>
          <w:t>21</w:t>
        </w:r>
        <w:r>
          <w:rPr>
            <w:rFonts w:hint="eastAsia"/>
          </w:rPr>
          <w:t xml:space="preserve"> </w:t>
        </w:r>
        <w:r w:rsidR="00BD7EE9">
          <w:rPr>
            <w:rFonts w:hint="eastAsia"/>
          </w:rPr>
          <w:t>年</w:t>
        </w:r>
        <w:r w:rsidR="00183D6C">
          <w:t>10</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p w14:paraId="4B0438E6" w14:textId="77777777" w:rsidR="00857F69" w:rsidRDefault="0085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9"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1"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2"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
  </w:num>
  <w:num w:numId="3">
    <w:abstractNumId w:val="22"/>
  </w:num>
  <w:num w:numId="4">
    <w:abstractNumId w:val="15"/>
  </w:num>
  <w:num w:numId="5">
    <w:abstractNumId w:val="40"/>
  </w:num>
  <w:num w:numId="6">
    <w:abstractNumId w:val="36"/>
  </w:num>
  <w:num w:numId="7">
    <w:abstractNumId w:val="11"/>
  </w:num>
  <w:num w:numId="8">
    <w:abstractNumId w:val="4"/>
  </w:num>
  <w:num w:numId="9">
    <w:abstractNumId w:val="51"/>
  </w:num>
  <w:num w:numId="10">
    <w:abstractNumId w:val="52"/>
  </w:num>
  <w:num w:numId="11">
    <w:abstractNumId w:val="29"/>
  </w:num>
  <w:num w:numId="12">
    <w:abstractNumId w:val="0"/>
  </w:num>
  <w:num w:numId="13">
    <w:abstractNumId w:val="12"/>
  </w:num>
  <w:num w:numId="14">
    <w:abstractNumId w:val="10"/>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7"/>
  </w:num>
  <w:num w:numId="24">
    <w:abstractNumId w:val="16"/>
  </w:num>
  <w:num w:numId="25">
    <w:abstractNumId w:val="30"/>
  </w:num>
  <w:num w:numId="26">
    <w:abstractNumId w:val="34"/>
  </w:num>
  <w:num w:numId="27">
    <w:abstractNumId w:val="14"/>
  </w:num>
  <w:num w:numId="28">
    <w:abstractNumId w:val="45"/>
  </w:num>
  <w:num w:numId="29">
    <w:abstractNumId w:val="28"/>
  </w:num>
  <w:num w:numId="30">
    <w:abstractNumId w:val="18"/>
  </w:num>
  <w:num w:numId="31">
    <w:abstractNumId w:val="3"/>
  </w:num>
  <w:num w:numId="32">
    <w:abstractNumId w:val="20"/>
  </w:num>
  <w:num w:numId="33">
    <w:abstractNumId w:val="50"/>
  </w:num>
  <w:num w:numId="34">
    <w:abstractNumId w:val="54"/>
  </w:num>
  <w:num w:numId="35">
    <w:abstractNumId w:val="6"/>
  </w:num>
  <w:num w:numId="36">
    <w:abstractNumId w:val="1"/>
  </w:num>
  <w:num w:numId="37">
    <w:abstractNumId w:val="49"/>
  </w:num>
  <w:num w:numId="38">
    <w:abstractNumId w:val="44"/>
  </w:num>
  <w:num w:numId="39">
    <w:abstractNumId w:val="38"/>
  </w:num>
  <w:num w:numId="40">
    <w:abstractNumId w:val="5"/>
  </w:num>
  <w:num w:numId="41">
    <w:abstractNumId w:val="31"/>
  </w:num>
  <w:num w:numId="42">
    <w:abstractNumId w:val="23"/>
  </w:num>
  <w:num w:numId="43">
    <w:abstractNumId w:val="21"/>
  </w:num>
  <w:num w:numId="44">
    <w:abstractNumId w:val="39"/>
  </w:num>
  <w:num w:numId="45">
    <w:abstractNumId w:val="8"/>
  </w:num>
  <w:num w:numId="46">
    <w:abstractNumId w:val="17"/>
  </w:num>
  <w:num w:numId="47">
    <w:abstractNumId w:val="43"/>
  </w:num>
  <w:num w:numId="48">
    <w:abstractNumId w:val="26"/>
  </w:num>
  <w:num w:numId="49">
    <w:abstractNumId w:val="37"/>
  </w:num>
  <w:num w:numId="50">
    <w:abstractNumId w:val="19"/>
  </w:num>
  <w:num w:numId="51">
    <w:abstractNumId w:val="46"/>
  </w:num>
  <w:num w:numId="52">
    <w:abstractNumId w:val="41"/>
  </w:num>
  <w:num w:numId="53">
    <w:abstractNumId w:val="47"/>
  </w:num>
  <w:num w:numId="54">
    <w:abstractNumId w:val="32"/>
  </w:num>
  <w:num w:numId="55">
    <w:abstractNumId w:val="48"/>
  </w:num>
  <w:num w:numId="56">
    <w:abstractNumId w:val="25"/>
  </w:num>
  <w:num w:numId="57">
    <w:abstractNumId w:val="42"/>
  </w:num>
  <w:num w:numId="58">
    <w:abstractNumId w:val="53"/>
  </w:num>
  <w:num w:numId="59">
    <w:abstractNumId w:val="33"/>
  </w:num>
  <w:num w:numId="60">
    <w:abstractNumId w:val="13"/>
  </w:num>
  <w:num w:numId="61">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clean"/>
  <w:documentProtection w:edit="forms" w:enforcement="1" w:cryptProviderType="rsaAES" w:cryptAlgorithmClass="hash" w:cryptAlgorithmType="typeAny" w:cryptAlgorithmSid="14" w:cryptSpinCount="100000" w:hash="LqBLPRn7Rgyvc1EWnCzP9BS3wuamQ+191HPSGlDeE368qBJSZwv3yVieWZqF94Nw/3TtYyaS8Mrly85nyMPk2A==" w:salt="kFYaPG2Wdvag4KTG0WM9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2AFB"/>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7CB"/>
    <w:rsid w:val="00086EDC"/>
    <w:rsid w:val="00086F17"/>
    <w:rsid w:val="000871B2"/>
    <w:rsid w:val="000872EB"/>
    <w:rsid w:val="00087BC2"/>
    <w:rsid w:val="0009022D"/>
    <w:rsid w:val="00090C2D"/>
    <w:rsid w:val="00090EF6"/>
    <w:rsid w:val="000913C3"/>
    <w:rsid w:val="0009164C"/>
    <w:rsid w:val="00092ABB"/>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2C11"/>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E6"/>
    <w:rsid w:val="000D54C1"/>
    <w:rsid w:val="000D5752"/>
    <w:rsid w:val="000D6060"/>
    <w:rsid w:val="000D746B"/>
    <w:rsid w:val="000D7E26"/>
    <w:rsid w:val="000E0557"/>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3131"/>
    <w:rsid w:val="00134504"/>
    <w:rsid w:val="001345D1"/>
    <w:rsid w:val="00134979"/>
    <w:rsid w:val="001349C6"/>
    <w:rsid w:val="00134DA1"/>
    <w:rsid w:val="00134EF8"/>
    <w:rsid w:val="00135330"/>
    <w:rsid w:val="001353F1"/>
    <w:rsid w:val="001354FF"/>
    <w:rsid w:val="00135786"/>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0F0"/>
    <w:rsid w:val="001F6CC3"/>
    <w:rsid w:val="001F6D6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A48"/>
    <w:rsid w:val="00212DC4"/>
    <w:rsid w:val="002130D2"/>
    <w:rsid w:val="0021316D"/>
    <w:rsid w:val="0021320C"/>
    <w:rsid w:val="0021374E"/>
    <w:rsid w:val="00213A1A"/>
    <w:rsid w:val="00214609"/>
    <w:rsid w:val="00214687"/>
    <w:rsid w:val="002146E7"/>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31C"/>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8B9"/>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3658"/>
    <w:rsid w:val="002D36D3"/>
    <w:rsid w:val="002D389C"/>
    <w:rsid w:val="002D38D7"/>
    <w:rsid w:val="002D3DD8"/>
    <w:rsid w:val="002D424D"/>
    <w:rsid w:val="002D5CF8"/>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420"/>
    <w:rsid w:val="003045C2"/>
    <w:rsid w:val="003049A9"/>
    <w:rsid w:val="00304E3C"/>
    <w:rsid w:val="00305387"/>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4A44"/>
    <w:rsid w:val="00364C1B"/>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6DB"/>
    <w:rsid w:val="00383EC0"/>
    <w:rsid w:val="003848F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873"/>
    <w:rsid w:val="003A0DB6"/>
    <w:rsid w:val="003A107C"/>
    <w:rsid w:val="003A160E"/>
    <w:rsid w:val="003A2025"/>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24B"/>
    <w:rsid w:val="004A3A1C"/>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0F3D"/>
    <w:rsid w:val="005A11CD"/>
    <w:rsid w:val="005A12F9"/>
    <w:rsid w:val="005A27D3"/>
    <w:rsid w:val="005A2833"/>
    <w:rsid w:val="005A2A0B"/>
    <w:rsid w:val="005A2ADF"/>
    <w:rsid w:val="005A2B4F"/>
    <w:rsid w:val="005A2FE5"/>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CA5"/>
    <w:rsid w:val="005D22F8"/>
    <w:rsid w:val="005D267E"/>
    <w:rsid w:val="005D2853"/>
    <w:rsid w:val="005D2EAC"/>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6A2C"/>
    <w:rsid w:val="00697264"/>
    <w:rsid w:val="00697358"/>
    <w:rsid w:val="00697A47"/>
    <w:rsid w:val="00697D62"/>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699"/>
    <w:rsid w:val="007527C2"/>
    <w:rsid w:val="00752C50"/>
    <w:rsid w:val="007531BC"/>
    <w:rsid w:val="007534CC"/>
    <w:rsid w:val="00753527"/>
    <w:rsid w:val="00754048"/>
    <w:rsid w:val="007545BE"/>
    <w:rsid w:val="00754F1E"/>
    <w:rsid w:val="00755FED"/>
    <w:rsid w:val="00756264"/>
    <w:rsid w:val="0075635C"/>
    <w:rsid w:val="00756E54"/>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647"/>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22C7"/>
    <w:rsid w:val="008424CD"/>
    <w:rsid w:val="008427EA"/>
    <w:rsid w:val="00843ABC"/>
    <w:rsid w:val="00843BF3"/>
    <w:rsid w:val="00844534"/>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E94"/>
    <w:rsid w:val="008720C4"/>
    <w:rsid w:val="008729B5"/>
    <w:rsid w:val="00872B0C"/>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EBF"/>
    <w:rsid w:val="00902AC4"/>
    <w:rsid w:val="00902AC7"/>
    <w:rsid w:val="00902B37"/>
    <w:rsid w:val="00902CF7"/>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D9B"/>
    <w:rsid w:val="009806A2"/>
    <w:rsid w:val="00980783"/>
    <w:rsid w:val="00980EFC"/>
    <w:rsid w:val="009812C0"/>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62A"/>
    <w:rsid w:val="009B0B45"/>
    <w:rsid w:val="009B0ECA"/>
    <w:rsid w:val="009B0F82"/>
    <w:rsid w:val="009B17C3"/>
    <w:rsid w:val="009B1BF6"/>
    <w:rsid w:val="009B1CC5"/>
    <w:rsid w:val="009B1D23"/>
    <w:rsid w:val="009B280A"/>
    <w:rsid w:val="009B2C53"/>
    <w:rsid w:val="009B2DBE"/>
    <w:rsid w:val="009B3712"/>
    <w:rsid w:val="009B373A"/>
    <w:rsid w:val="009B3BB7"/>
    <w:rsid w:val="009B3FD1"/>
    <w:rsid w:val="009B4252"/>
    <w:rsid w:val="009B462A"/>
    <w:rsid w:val="009B4768"/>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4FA"/>
    <w:rsid w:val="00A23515"/>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9AD"/>
    <w:rsid w:val="00A30B11"/>
    <w:rsid w:val="00A3142A"/>
    <w:rsid w:val="00A316D5"/>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775"/>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0F8A"/>
    <w:rsid w:val="00AC1338"/>
    <w:rsid w:val="00AC17C3"/>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11EB"/>
    <w:rsid w:val="00B12C9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5E1D"/>
    <w:rsid w:val="00B26020"/>
    <w:rsid w:val="00B263C7"/>
    <w:rsid w:val="00B26543"/>
    <w:rsid w:val="00B26BEF"/>
    <w:rsid w:val="00B26C04"/>
    <w:rsid w:val="00B27001"/>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657"/>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7AD"/>
    <w:rsid w:val="00BE34E2"/>
    <w:rsid w:val="00BE3716"/>
    <w:rsid w:val="00BE396A"/>
    <w:rsid w:val="00BE3C73"/>
    <w:rsid w:val="00BE3FBD"/>
    <w:rsid w:val="00BE4610"/>
    <w:rsid w:val="00BE4B0D"/>
    <w:rsid w:val="00BE4EAA"/>
    <w:rsid w:val="00BE4F4C"/>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1EC"/>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B7DC6"/>
    <w:rsid w:val="00CC0B22"/>
    <w:rsid w:val="00CC11ED"/>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A7650"/>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4BB0"/>
    <w:rsid w:val="00E15422"/>
    <w:rsid w:val="00E15840"/>
    <w:rsid w:val="00E15D39"/>
    <w:rsid w:val="00E1634B"/>
    <w:rsid w:val="00E16A55"/>
    <w:rsid w:val="00E17C8B"/>
    <w:rsid w:val="00E17D38"/>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6FA5"/>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E9F"/>
    <w:rsid w:val="00EA5FCC"/>
    <w:rsid w:val="00EA60A1"/>
    <w:rsid w:val="00EA6301"/>
    <w:rsid w:val="00EA6603"/>
    <w:rsid w:val="00EA6950"/>
    <w:rsid w:val="00EA6F54"/>
    <w:rsid w:val="00EA73C1"/>
    <w:rsid w:val="00EA7404"/>
    <w:rsid w:val="00EB0BCC"/>
    <w:rsid w:val="00EB10C5"/>
    <w:rsid w:val="00EB1562"/>
    <w:rsid w:val="00EB20C7"/>
    <w:rsid w:val="00EB20CC"/>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5DBE"/>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360"/>
    <w:rsid w:val="00FC75B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A76"/>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aka.ms/listedproviders" TargetMode="External"/><Relationship Id="rId21" Type="http://schemas.openxmlformats.org/officeDocument/2006/relationships/footer" Target="footer5.xml"/><Relationship Id="rId34" Type="http://schemas.openxmlformats.org/officeDocument/2006/relationships/hyperlink" Target="http://www.mpegl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yperlink" Target="http://www.21vbluecloud.com/ostpt" TargetMode="Externa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microsoft.com/en-us/powerapps/maker/common-data-service/data-platform-restricted-ent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aka.ms/QMTHAuthorizedPartnerList" TargetMode="Externa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aka.ms/listedproviders" TargetMode="External"/><Relationship Id="rId30" Type="http://schemas.openxmlformats.org/officeDocument/2006/relationships/hyperlink" Target="https://go.microsoft.com/fwlink/?linkid=868812" TargetMode="Externa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2.xml><?xml version="1.0" encoding="utf-8"?>
<ds:datastoreItem xmlns:ds="http://schemas.openxmlformats.org/officeDocument/2006/customXml" ds:itemID="{FDC59FC3-AAD3-4DA2-82CF-808DB1054E2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293d5526-41e8-4f37-beee-df87ccd19469"/>
    <ds:schemaRef ds:uri="f5ef574c-1e88-4735-b177-40e24ddd8ec4"/>
    <ds:schemaRef ds:uri="http://schemas.microsoft.com/sharepoint/v3"/>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162</TotalTime>
  <Pages>27</Pages>
  <Words>5494</Words>
  <Characters>31318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151</cp:revision>
  <cp:lastPrinted>2018-02-14T23:52:00Z</cp:lastPrinted>
  <dcterms:created xsi:type="dcterms:W3CDTF">2021-06-11T07:18:00Z</dcterms:created>
  <dcterms:modified xsi:type="dcterms:W3CDTF">2021-09-24T22:10:00Z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