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6DA48E2"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w:t>
      </w:r>
      <w:r w:rsidR="006B09C4">
        <w:rPr>
          <w:rFonts w:asciiTheme="majorHAnsi" w:hAnsiTheme="majorHAnsi"/>
          <w:color w:val="FFFFFF" w:themeColor="background1"/>
          <w:sz w:val="56"/>
          <w:szCs w:val="72"/>
        </w:rPr>
        <w:t>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767A7D">
        <w:rPr>
          <w:rFonts w:asciiTheme="majorHAnsi" w:hAnsiTheme="majorHAnsi"/>
          <w:color w:val="FFFFFF" w:themeColor="background1"/>
          <w:sz w:val="56"/>
          <w:szCs w:val="72"/>
        </w:rPr>
        <w:t>5</w:t>
      </w:r>
      <w:r w:rsidR="00A932C8"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70679790"/>
      <w:r w:rsidRPr="008E2AD9">
        <w:rPr>
          <w:rFonts w:hint="eastAsia"/>
        </w:rPr>
        <w:lastRenderedPageBreak/>
        <w:t>目录</w:t>
      </w:r>
      <w:bookmarkEnd w:id="1"/>
      <w:bookmarkEnd w:id="2"/>
    </w:p>
    <w:p w14:paraId="4FC400AE" w14:textId="42FE67DC" w:rsidR="0096279F"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70679790" w:history="1">
        <w:r w:rsidR="0096279F" w:rsidRPr="00AF3D9B">
          <w:rPr>
            <w:rStyle w:val="Hyperlink"/>
            <w:rFonts w:hint="eastAsia"/>
            <w:noProof/>
          </w:rPr>
          <w:t>目录</w:t>
        </w:r>
        <w:r w:rsidR="0096279F">
          <w:rPr>
            <w:noProof/>
            <w:webHidden/>
          </w:rPr>
          <w:tab/>
        </w:r>
        <w:r w:rsidR="0096279F">
          <w:rPr>
            <w:noProof/>
            <w:webHidden/>
          </w:rPr>
          <w:fldChar w:fldCharType="begin"/>
        </w:r>
        <w:r w:rsidR="0096279F">
          <w:rPr>
            <w:noProof/>
            <w:webHidden/>
          </w:rPr>
          <w:instrText xml:space="preserve"> PAGEREF _Toc70679790 \h </w:instrText>
        </w:r>
        <w:r w:rsidR="0096279F">
          <w:rPr>
            <w:noProof/>
            <w:webHidden/>
          </w:rPr>
        </w:r>
        <w:r w:rsidR="0096279F">
          <w:rPr>
            <w:noProof/>
            <w:webHidden/>
          </w:rPr>
          <w:fldChar w:fldCharType="separate"/>
        </w:r>
        <w:r w:rsidR="0096279F">
          <w:rPr>
            <w:noProof/>
            <w:webHidden/>
          </w:rPr>
          <w:t>2</w:t>
        </w:r>
        <w:r w:rsidR="0096279F">
          <w:rPr>
            <w:noProof/>
            <w:webHidden/>
          </w:rPr>
          <w:fldChar w:fldCharType="end"/>
        </w:r>
      </w:hyperlink>
    </w:p>
    <w:p w14:paraId="2D5AE46F" w14:textId="1F7E00EE" w:rsidR="0096279F" w:rsidRDefault="0096279F">
      <w:pPr>
        <w:pStyle w:val="TOC1"/>
        <w:tabs>
          <w:tab w:val="right" w:leader="dot" w:pos="5030"/>
        </w:tabs>
        <w:rPr>
          <w:rFonts w:eastAsiaTheme="minorEastAsia"/>
          <w:b w:val="0"/>
          <w:caps w:val="0"/>
          <w:noProof/>
          <w:sz w:val="22"/>
        </w:rPr>
      </w:pPr>
      <w:hyperlink w:anchor="_Toc70679791" w:history="1">
        <w:r w:rsidRPr="00AF3D9B">
          <w:rPr>
            <w:rStyle w:val="Hyperlink"/>
            <w:rFonts w:hint="eastAsia"/>
            <w:noProof/>
          </w:rPr>
          <w:t>简介</w:t>
        </w:r>
        <w:r>
          <w:rPr>
            <w:noProof/>
            <w:webHidden/>
          </w:rPr>
          <w:tab/>
        </w:r>
        <w:r>
          <w:rPr>
            <w:noProof/>
            <w:webHidden/>
          </w:rPr>
          <w:fldChar w:fldCharType="begin"/>
        </w:r>
        <w:r>
          <w:rPr>
            <w:noProof/>
            <w:webHidden/>
          </w:rPr>
          <w:instrText xml:space="preserve"> PAGEREF _Toc70679791 \h </w:instrText>
        </w:r>
        <w:r>
          <w:rPr>
            <w:noProof/>
            <w:webHidden/>
          </w:rPr>
        </w:r>
        <w:r>
          <w:rPr>
            <w:noProof/>
            <w:webHidden/>
          </w:rPr>
          <w:fldChar w:fldCharType="separate"/>
        </w:r>
        <w:r>
          <w:rPr>
            <w:noProof/>
            <w:webHidden/>
          </w:rPr>
          <w:t>3</w:t>
        </w:r>
        <w:r>
          <w:rPr>
            <w:noProof/>
            <w:webHidden/>
          </w:rPr>
          <w:fldChar w:fldCharType="end"/>
        </w:r>
      </w:hyperlink>
    </w:p>
    <w:p w14:paraId="12FA4C45" w14:textId="57CDA953" w:rsidR="0096279F" w:rsidRDefault="0096279F">
      <w:pPr>
        <w:pStyle w:val="TOC5"/>
        <w:rPr>
          <w:rFonts w:eastAsiaTheme="minorEastAsia"/>
          <w:noProof/>
          <w:sz w:val="22"/>
        </w:rPr>
      </w:pPr>
      <w:hyperlink w:anchor="_Toc70679792" w:history="1">
        <w:r w:rsidRPr="00AF3D9B">
          <w:rPr>
            <w:rStyle w:val="Hyperlink"/>
            <w:rFonts w:hint="eastAsia"/>
            <w:noProof/>
          </w:rPr>
          <w:t>服务级别协议</w:t>
        </w:r>
        <w:r>
          <w:rPr>
            <w:noProof/>
            <w:webHidden/>
          </w:rPr>
          <w:tab/>
        </w:r>
        <w:r>
          <w:rPr>
            <w:noProof/>
            <w:webHidden/>
          </w:rPr>
          <w:fldChar w:fldCharType="begin"/>
        </w:r>
        <w:r>
          <w:rPr>
            <w:noProof/>
            <w:webHidden/>
          </w:rPr>
          <w:instrText xml:space="preserve"> PAGEREF _Toc70679792 \h </w:instrText>
        </w:r>
        <w:r>
          <w:rPr>
            <w:noProof/>
            <w:webHidden/>
          </w:rPr>
        </w:r>
        <w:r>
          <w:rPr>
            <w:noProof/>
            <w:webHidden/>
          </w:rPr>
          <w:fldChar w:fldCharType="separate"/>
        </w:r>
        <w:r>
          <w:rPr>
            <w:noProof/>
            <w:webHidden/>
          </w:rPr>
          <w:t>3</w:t>
        </w:r>
        <w:r>
          <w:rPr>
            <w:noProof/>
            <w:webHidden/>
          </w:rPr>
          <w:fldChar w:fldCharType="end"/>
        </w:r>
      </w:hyperlink>
    </w:p>
    <w:p w14:paraId="274CB3A8" w14:textId="6FED8C2A" w:rsidR="0096279F" w:rsidRDefault="0096279F">
      <w:pPr>
        <w:pStyle w:val="TOC5"/>
        <w:rPr>
          <w:rFonts w:eastAsiaTheme="minorEastAsia"/>
          <w:noProof/>
          <w:sz w:val="22"/>
        </w:rPr>
      </w:pPr>
      <w:hyperlink w:anchor="_Toc70679793" w:history="1">
        <w:r w:rsidRPr="00AF3D9B">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_Toc70679793 \h </w:instrText>
        </w:r>
        <w:r>
          <w:rPr>
            <w:noProof/>
            <w:webHidden/>
          </w:rPr>
        </w:r>
        <w:r>
          <w:rPr>
            <w:noProof/>
            <w:webHidden/>
          </w:rPr>
          <w:fldChar w:fldCharType="separate"/>
        </w:r>
        <w:r>
          <w:rPr>
            <w:noProof/>
            <w:webHidden/>
          </w:rPr>
          <w:t>3</w:t>
        </w:r>
        <w:r>
          <w:rPr>
            <w:noProof/>
            <w:webHidden/>
          </w:rPr>
          <w:fldChar w:fldCharType="end"/>
        </w:r>
      </w:hyperlink>
    </w:p>
    <w:p w14:paraId="4494FD89" w14:textId="5FF59464" w:rsidR="0096279F" w:rsidRDefault="0096279F">
      <w:pPr>
        <w:pStyle w:val="TOC5"/>
        <w:rPr>
          <w:rFonts w:eastAsiaTheme="minorEastAsia"/>
          <w:noProof/>
          <w:sz w:val="22"/>
        </w:rPr>
      </w:pPr>
      <w:hyperlink w:anchor="_Toc70679794" w:history="1">
        <w:r w:rsidRPr="00AF3D9B">
          <w:rPr>
            <w:rStyle w:val="Hyperlink"/>
            <w:rFonts w:hint="eastAsia"/>
            <w:noProof/>
          </w:rPr>
          <w:t>电子通知</w:t>
        </w:r>
        <w:r>
          <w:rPr>
            <w:noProof/>
            <w:webHidden/>
          </w:rPr>
          <w:tab/>
        </w:r>
        <w:r>
          <w:rPr>
            <w:noProof/>
            <w:webHidden/>
          </w:rPr>
          <w:fldChar w:fldCharType="begin"/>
        </w:r>
        <w:r>
          <w:rPr>
            <w:noProof/>
            <w:webHidden/>
          </w:rPr>
          <w:instrText xml:space="preserve"> PAGEREF _Toc70679794 \h </w:instrText>
        </w:r>
        <w:r>
          <w:rPr>
            <w:noProof/>
            <w:webHidden/>
          </w:rPr>
        </w:r>
        <w:r>
          <w:rPr>
            <w:noProof/>
            <w:webHidden/>
          </w:rPr>
          <w:fldChar w:fldCharType="separate"/>
        </w:r>
        <w:r>
          <w:rPr>
            <w:noProof/>
            <w:webHidden/>
          </w:rPr>
          <w:t>3</w:t>
        </w:r>
        <w:r>
          <w:rPr>
            <w:noProof/>
            <w:webHidden/>
          </w:rPr>
          <w:fldChar w:fldCharType="end"/>
        </w:r>
      </w:hyperlink>
    </w:p>
    <w:p w14:paraId="22CF51E1" w14:textId="25E84532" w:rsidR="0096279F" w:rsidRDefault="0096279F">
      <w:pPr>
        <w:pStyle w:val="TOC5"/>
        <w:rPr>
          <w:rFonts w:eastAsiaTheme="minorEastAsia"/>
          <w:noProof/>
          <w:sz w:val="22"/>
        </w:rPr>
      </w:pPr>
      <w:hyperlink w:anchor="_Toc70679795" w:history="1">
        <w:r w:rsidRPr="00AF3D9B">
          <w:rPr>
            <w:rStyle w:val="Hyperlink"/>
            <w:rFonts w:hint="eastAsia"/>
            <w:noProof/>
          </w:rPr>
          <w:t>早期版本</w:t>
        </w:r>
        <w:r>
          <w:rPr>
            <w:noProof/>
            <w:webHidden/>
          </w:rPr>
          <w:tab/>
        </w:r>
        <w:r>
          <w:rPr>
            <w:noProof/>
            <w:webHidden/>
          </w:rPr>
          <w:fldChar w:fldCharType="begin"/>
        </w:r>
        <w:r>
          <w:rPr>
            <w:noProof/>
            <w:webHidden/>
          </w:rPr>
          <w:instrText xml:space="preserve"> PAGEREF _Toc70679795 \h </w:instrText>
        </w:r>
        <w:r>
          <w:rPr>
            <w:noProof/>
            <w:webHidden/>
          </w:rPr>
        </w:r>
        <w:r>
          <w:rPr>
            <w:noProof/>
            <w:webHidden/>
          </w:rPr>
          <w:fldChar w:fldCharType="separate"/>
        </w:r>
        <w:r>
          <w:rPr>
            <w:noProof/>
            <w:webHidden/>
          </w:rPr>
          <w:t>3</w:t>
        </w:r>
        <w:r>
          <w:rPr>
            <w:noProof/>
            <w:webHidden/>
          </w:rPr>
          <w:fldChar w:fldCharType="end"/>
        </w:r>
      </w:hyperlink>
    </w:p>
    <w:p w14:paraId="0684E7CE" w14:textId="1C57BF0D" w:rsidR="0096279F" w:rsidRDefault="0096279F">
      <w:pPr>
        <w:pStyle w:val="TOC3"/>
        <w:rPr>
          <w:rFonts w:eastAsiaTheme="minorEastAsia"/>
          <w:b w:val="0"/>
          <w:smallCaps w:val="0"/>
          <w:sz w:val="22"/>
        </w:rPr>
      </w:pPr>
      <w:hyperlink w:anchor="_Toc70679796" w:history="1">
        <w:r w:rsidRPr="00AF3D9B">
          <w:rPr>
            <w:rStyle w:val="Hyperlink"/>
            <w:rFonts w:cstheme="minorHAnsi" w:hint="eastAsia"/>
            <w:lang w:eastAsia="en-US"/>
          </w:rPr>
          <w:t>澄清及更改摘要</w:t>
        </w:r>
        <w:r>
          <w:rPr>
            <w:webHidden/>
          </w:rPr>
          <w:tab/>
        </w:r>
        <w:r>
          <w:rPr>
            <w:webHidden/>
          </w:rPr>
          <w:fldChar w:fldCharType="begin"/>
        </w:r>
        <w:r>
          <w:rPr>
            <w:webHidden/>
          </w:rPr>
          <w:instrText xml:space="preserve"> PAGEREF _Toc70679796 \h </w:instrText>
        </w:r>
        <w:r>
          <w:rPr>
            <w:webHidden/>
          </w:rPr>
        </w:r>
        <w:r>
          <w:rPr>
            <w:webHidden/>
          </w:rPr>
          <w:fldChar w:fldCharType="separate"/>
        </w:r>
        <w:r>
          <w:rPr>
            <w:webHidden/>
          </w:rPr>
          <w:t>3</w:t>
        </w:r>
        <w:r>
          <w:rPr>
            <w:webHidden/>
          </w:rPr>
          <w:fldChar w:fldCharType="end"/>
        </w:r>
      </w:hyperlink>
    </w:p>
    <w:p w14:paraId="33BD6CC1" w14:textId="4A0E2F7D" w:rsidR="0096279F" w:rsidRDefault="0096279F">
      <w:pPr>
        <w:pStyle w:val="TOC1"/>
        <w:tabs>
          <w:tab w:val="right" w:leader="dot" w:pos="5030"/>
        </w:tabs>
        <w:rPr>
          <w:rFonts w:eastAsiaTheme="minorEastAsia"/>
          <w:b w:val="0"/>
          <w:caps w:val="0"/>
          <w:noProof/>
          <w:sz w:val="22"/>
        </w:rPr>
      </w:pPr>
      <w:hyperlink w:anchor="_Toc70679797" w:history="1">
        <w:r w:rsidRPr="00AF3D9B">
          <w:rPr>
            <w:rStyle w:val="Hyperlink"/>
            <w:rFonts w:hint="eastAsia"/>
            <w:noProof/>
          </w:rPr>
          <w:t>定义</w:t>
        </w:r>
        <w:r>
          <w:rPr>
            <w:noProof/>
            <w:webHidden/>
          </w:rPr>
          <w:tab/>
        </w:r>
        <w:r>
          <w:rPr>
            <w:noProof/>
            <w:webHidden/>
          </w:rPr>
          <w:fldChar w:fldCharType="begin"/>
        </w:r>
        <w:r>
          <w:rPr>
            <w:noProof/>
            <w:webHidden/>
          </w:rPr>
          <w:instrText xml:space="preserve"> PAGEREF _Toc70679797 \h </w:instrText>
        </w:r>
        <w:r>
          <w:rPr>
            <w:noProof/>
            <w:webHidden/>
          </w:rPr>
        </w:r>
        <w:r>
          <w:rPr>
            <w:noProof/>
            <w:webHidden/>
          </w:rPr>
          <w:fldChar w:fldCharType="separate"/>
        </w:r>
        <w:r>
          <w:rPr>
            <w:noProof/>
            <w:webHidden/>
          </w:rPr>
          <w:t>4</w:t>
        </w:r>
        <w:r>
          <w:rPr>
            <w:noProof/>
            <w:webHidden/>
          </w:rPr>
          <w:fldChar w:fldCharType="end"/>
        </w:r>
      </w:hyperlink>
    </w:p>
    <w:p w14:paraId="0501F452" w14:textId="2BBF66F6" w:rsidR="0096279F" w:rsidRDefault="0096279F">
      <w:pPr>
        <w:pStyle w:val="TOC1"/>
        <w:tabs>
          <w:tab w:val="right" w:leader="dot" w:pos="5030"/>
        </w:tabs>
        <w:rPr>
          <w:rFonts w:eastAsiaTheme="minorEastAsia"/>
          <w:b w:val="0"/>
          <w:caps w:val="0"/>
          <w:noProof/>
          <w:sz w:val="22"/>
        </w:rPr>
      </w:pPr>
      <w:hyperlink w:anchor="_Toc70679798" w:history="1">
        <w:r w:rsidRPr="00AF3D9B">
          <w:rPr>
            <w:rStyle w:val="Hyperlink"/>
            <w:rFonts w:hint="eastAsia"/>
            <w:noProof/>
          </w:rPr>
          <w:t>通用条款</w:t>
        </w:r>
        <w:r>
          <w:rPr>
            <w:noProof/>
            <w:webHidden/>
          </w:rPr>
          <w:tab/>
        </w:r>
        <w:r>
          <w:rPr>
            <w:noProof/>
            <w:webHidden/>
          </w:rPr>
          <w:fldChar w:fldCharType="begin"/>
        </w:r>
        <w:r>
          <w:rPr>
            <w:noProof/>
            <w:webHidden/>
          </w:rPr>
          <w:instrText xml:space="preserve"> PAGEREF _Toc70679798 \h </w:instrText>
        </w:r>
        <w:r>
          <w:rPr>
            <w:noProof/>
            <w:webHidden/>
          </w:rPr>
        </w:r>
        <w:r>
          <w:rPr>
            <w:noProof/>
            <w:webHidden/>
          </w:rPr>
          <w:fldChar w:fldCharType="separate"/>
        </w:r>
        <w:r>
          <w:rPr>
            <w:noProof/>
            <w:webHidden/>
          </w:rPr>
          <w:t>5</w:t>
        </w:r>
        <w:r>
          <w:rPr>
            <w:noProof/>
            <w:webHidden/>
          </w:rPr>
          <w:fldChar w:fldCharType="end"/>
        </w:r>
      </w:hyperlink>
    </w:p>
    <w:p w14:paraId="370696DA" w14:textId="24C7606B" w:rsidR="0096279F" w:rsidRDefault="0096279F">
      <w:pPr>
        <w:pStyle w:val="TOC5"/>
        <w:rPr>
          <w:rFonts w:eastAsiaTheme="minorEastAsia"/>
          <w:noProof/>
          <w:sz w:val="22"/>
        </w:rPr>
      </w:pPr>
      <w:hyperlink w:anchor="_Toc70679799" w:history="1">
        <w:r w:rsidRPr="00AF3D9B">
          <w:rPr>
            <w:rStyle w:val="Hyperlink"/>
            <w:rFonts w:hint="eastAsia"/>
            <w:noProof/>
          </w:rPr>
          <w:t>许可在线服务</w:t>
        </w:r>
        <w:r>
          <w:rPr>
            <w:noProof/>
            <w:webHidden/>
          </w:rPr>
          <w:tab/>
        </w:r>
        <w:r>
          <w:rPr>
            <w:noProof/>
            <w:webHidden/>
          </w:rPr>
          <w:fldChar w:fldCharType="begin"/>
        </w:r>
        <w:r>
          <w:rPr>
            <w:noProof/>
            <w:webHidden/>
          </w:rPr>
          <w:instrText xml:space="preserve"> PAGEREF _Toc70679799 \h </w:instrText>
        </w:r>
        <w:r>
          <w:rPr>
            <w:noProof/>
            <w:webHidden/>
          </w:rPr>
        </w:r>
        <w:r>
          <w:rPr>
            <w:noProof/>
            <w:webHidden/>
          </w:rPr>
          <w:fldChar w:fldCharType="separate"/>
        </w:r>
        <w:r>
          <w:rPr>
            <w:noProof/>
            <w:webHidden/>
          </w:rPr>
          <w:t>5</w:t>
        </w:r>
        <w:r>
          <w:rPr>
            <w:noProof/>
            <w:webHidden/>
          </w:rPr>
          <w:fldChar w:fldCharType="end"/>
        </w:r>
      </w:hyperlink>
    </w:p>
    <w:p w14:paraId="12D5F15B" w14:textId="0CE88A4C" w:rsidR="0096279F" w:rsidRDefault="0096279F">
      <w:pPr>
        <w:pStyle w:val="TOC5"/>
        <w:rPr>
          <w:rFonts w:eastAsiaTheme="minorEastAsia"/>
          <w:noProof/>
          <w:sz w:val="22"/>
        </w:rPr>
      </w:pPr>
      <w:hyperlink w:anchor="_Toc70679800" w:history="1">
        <w:r w:rsidRPr="00AF3D9B">
          <w:rPr>
            <w:rStyle w:val="Hyperlink"/>
            <w:rFonts w:hint="eastAsia"/>
            <w:noProof/>
          </w:rPr>
          <w:t>使用在线服务</w:t>
        </w:r>
        <w:r>
          <w:rPr>
            <w:noProof/>
            <w:webHidden/>
          </w:rPr>
          <w:tab/>
        </w:r>
        <w:r>
          <w:rPr>
            <w:noProof/>
            <w:webHidden/>
          </w:rPr>
          <w:fldChar w:fldCharType="begin"/>
        </w:r>
        <w:r>
          <w:rPr>
            <w:noProof/>
            <w:webHidden/>
          </w:rPr>
          <w:instrText xml:space="preserve"> PAGEREF _Toc70679800 \h </w:instrText>
        </w:r>
        <w:r>
          <w:rPr>
            <w:noProof/>
            <w:webHidden/>
          </w:rPr>
        </w:r>
        <w:r>
          <w:rPr>
            <w:noProof/>
            <w:webHidden/>
          </w:rPr>
          <w:fldChar w:fldCharType="separate"/>
        </w:r>
        <w:r>
          <w:rPr>
            <w:noProof/>
            <w:webHidden/>
          </w:rPr>
          <w:t>5</w:t>
        </w:r>
        <w:r>
          <w:rPr>
            <w:noProof/>
            <w:webHidden/>
          </w:rPr>
          <w:fldChar w:fldCharType="end"/>
        </w:r>
      </w:hyperlink>
    </w:p>
    <w:p w14:paraId="3498E077" w14:textId="7CAC0138" w:rsidR="0096279F" w:rsidRDefault="0096279F">
      <w:pPr>
        <w:pStyle w:val="TOC5"/>
        <w:rPr>
          <w:rFonts w:eastAsiaTheme="minorEastAsia"/>
          <w:noProof/>
          <w:sz w:val="22"/>
        </w:rPr>
      </w:pPr>
      <w:hyperlink w:anchor="_Toc70679801" w:history="1">
        <w:r w:rsidRPr="00AF3D9B">
          <w:rPr>
            <w:rStyle w:val="Hyperlink"/>
            <w:rFonts w:hint="eastAsia"/>
            <w:noProof/>
          </w:rPr>
          <w:t>在线服务中的软件使用</w:t>
        </w:r>
        <w:r>
          <w:rPr>
            <w:noProof/>
            <w:webHidden/>
          </w:rPr>
          <w:tab/>
        </w:r>
        <w:r>
          <w:rPr>
            <w:noProof/>
            <w:webHidden/>
          </w:rPr>
          <w:fldChar w:fldCharType="begin"/>
        </w:r>
        <w:r>
          <w:rPr>
            <w:noProof/>
            <w:webHidden/>
          </w:rPr>
          <w:instrText xml:space="preserve"> PAGEREF _Toc70679801 \h </w:instrText>
        </w:r>
        <w:r>
          <w:rPr>
            <w:noProof/>
            <w:webHidden/>
          </w:rPr>
        </w:r>
        <w:r>
          <w:rPr>
            <w:noProof/>
            <w:webHidden/>
          </w:rPr>
          <w:fldChar w:fldCharType="separate"/>
        </w:r>
        <w:r>
          <w:rPr>
            <w:noProof/>
            <w:webHidden/>
          </w:rPr>
          <w:t>6</w:t>
        </w:r>
        <w:r>
          <w:rPr>
            <w:noProof/>
            <w:webHidden/>
          </w:rPr>
          <w:fldChar w:fldCharType="end"/>
        </w:r>
      </w:hyperlink>
    </w:p>
    <w:p w14:paraId="67E7F5BE" w14:textId="3036E8E1" w:rsidR="0096279F" w:rsidRDefault="0096279F">
      <w:pPr>
        <w:pStyle w:val="TOC5"/>
        <w:rPr>
          <w:rFonts w:eastAsiaTheme="minorEastAsia"/>
          <w:noProof/>
          <w:sz w:val="22"/>
        </w:rPr>
      </w:pPr>
      <w:hyperlink w:anchor="_Toc70679802" w:history="1">
        <w:r w:rsidRPr="00AF3D9B">
          <w:rPr>
            <w:rStyle w:val="Hyperlink"/>
            <w:rFonts w:hint="eastAsia"/>
            <w:noProof/>
          </w:rPr>
          <w:t>技术限制</w:t>
        </w:r>
        <w:r>
          <w:rPr>
            <w:noProof/>
            <w:webHidden/>
          </w:rPr>
          <w:tab/>
        </w:r>
        <w:r>
          <w:rPr>
            <w:noProof/>
            <w:webHidden/>
          </w:rPr>
          <w:fldChar w:fldCharType="begin"/>
        </w:r>
        <w:r>
          <w:rPr>
            <w:noProof/>
            <w:webHidden/>
          </w:rPr>
          <w:instrText xml:space="preserve"> PAGEREF _Toc70679802 \h </w:instrText>
        </w:r>
        <w:r>
          <w:rPr>
            <w:noProof/>
            <w:webHidden/>
          </w:rPr>
        </w:r>
        <w:r>
          <w:rPr>
            <w:noProof/>
            <w:webHidden/>
          </w:rPr>
          <w:fldChar w:fldCharType="separate"/>
        </w:r>
        <w:r>
          <w:rPr>
            <w:noProof/>
            <w:webHidden/>
          </w:rPr>
          <w:t>6</w:t>
        </w:r>
        <w:r>
          <w:rPr>
            <w:noProof/>
            <w:webHidden/>
          </w:rPr>
          <w:fldChar w:fldCharType="end"/>
        </w:r>
      </w:hyperlink>
    </w:p>
    <w:p w14:paraId="48CB62EC" w14:textId="3B14C551" w:rsidR="0096279F" w:rsidRDefault="0096279F">
      <w:pPr>
        <w:pStyle w:val="TOC5"/>
        <w:rPr>
          <w:rFonts w:eastAsiaTheme="minorEastAsia"/>
          <w:noProof/>
          <w:sz w:val="22"/>
        </w:rPr>
      </w:pPr>
      <w:hyperlink w:anchor="_Toc70679803" w:history="1">
        <w:r w:rsidRPr="00AF3D9B">
          <w:rPr>
            <w:rStyle w:val="Hyperlink"/>
            <w:rFonts w:hint="eastAsia"/>
            <w:noProof/>
          </w:rPr>
          <w:t>导入</w:t>
        </w:r>
        <w:r w:rsidRPr="00AF3D9B">
          <w:rPr>
            <w:rStyle w:val="Hyperlink"/>
            <w:noProof/>
          </w:rPr>
          <w:t>/</w:t>
        </w:r>
        <w:r w:rsidRPr="00AF3D9B">
          <w:rPr>
            <w:rStyle w:val="Hyperlink"/>
            <w:rFonts w:hint="eastAsia"/>
            <w:noProof/>
          </w:rPr>
          <w:t>导出服务</w:t>
        </w:r>
        <w:r>
          <w:rPr>
            <w:noProof/>
            <w:webHidden/>
          </w:rPr>
          <w:tab/>
        </w:r>
        <w:r>
          <w:rPr>
            <w:noProof/>
            <w:webHidden/>
          </w:rPr>
          <w:fldChar w:fldCharType="begin"/>
        </w:r>
        <w:r>
          <w:rPr>
            <w:noProof/>
            <w:webHidden/>
          </w:rPr>
          <w:instrText xml:space="preserve"> PAGEREF _Toc70679803 \h </w:instrText>
        </w:r>
        <w:r>
          <w:rPr>
            <w:noProof/>
            <w:webHidden/>
          </w:rPr>
        </w:r>
        <w:r>
          <w:rPr>
            <w:noProof/>
            <w:webHidden/>
          </w:rPr>
          <w:fldChar w:fldCharType="separate"/>
        </w:r>
        <w:r>
          <w:rPr>
            <w:noProof/>
            <w:webHidden/>
          </w:rPr>
          <w:t>6</w:t>
        </w:r>
        <w:r>
          <w:rPr>
            <w:noProof/>
            <w:webHidden/>
          </w:rPr>
          <w:fldChar w:fldCharType="end"/>
        </w:r>
      </w:hyperlink>
    </w:p>
    <w:p w14:paraId="3D9EDCF7" w14:textId="0EBF6687" w:rsidR="0096279F" w:rsidRDefault="0096279F">
      <w:pPr>
        <w:pStyle w:val="TOC5"/>
        <w:rPr>
          <w:rFonts w:eastAsiaTheme="minorEastAsia"/>
          <w:noProof/>
          <w:sz w:val="22"/>
        </w:rPr>
      </w:pPr>
      <w:hyperlink w:anchor="_Toc70679804" w:history="1">
        <w:r w:rsidRPr="00AF3D9B">
          <w:rPr>
            <w:rStyle w:val="Hyperlink"/>
            <w:rFonts w:hint="eastAsia"/>
            <w:noProof/>
          </w:rPr>
          <w:t>字体组件</w:t>
        </w:r>
        <w:r>
          <w:rPr>
            <w:noProof/>
            <w:webHidden/>
          </w:rPr>
          <w:tab/>
        </w:r>
        <w:r>
          <w:rPr>
            <w:noProof/>
            <w:webHidden/>
          </w:rPr>
          <w:fldChar w:fldCharType="begin"/>
        </w:r>
        <w:r>
          <w:rPr>
            <w:noProof/>
            <w:webHidden/>
          </w:rPr>
          <w:instrText xml:space="preserve"> PAGEREF _Toc70679804 \h </w:instrText>
        </w:r>
        <w:r>
          <w:rPr>
            <w:noProof/>
            <w:webHidden/>
          </w:rPr>
        </w:r>
        <w:r>
          <w:rPr>
            <w:noProof/>
            <w:webHidden/>
          </w:rPr>
          <w:fldChar w:fldCharType="separate"/>
        </w:r>
        <w:r>
          <w:rPr>
            <w:noProof/>
            <w:webHidden/>
          </w:rPr>
          <w:t>6</w:t>
        </w:r>
        <w:r>
          <w:rPr>
            <w:noProof/>
            <w:webHidden/>
          </w:rPr>
          <w:fldChar w:fldCharType="end"/>
        </w:r>
      </w:hyperlink>
    </w:p>
    <w:p w14:paraId="128FB26B" w14:textId="3C8C2F20" w:rsidR="0096279F" w:rsidRDefault="0096279F">
      <w:pPr>
        <w:pStyle w:val="TOC5"/>
        <w:rPr>
          <w:rFonts w:eastAsiaTheme="minorEastAsia"/>
          <w:noProof/>
          <w:sz w:val="22"/>
        </w:rPr>
      </w:pPr>
      <w:hyperlink w:anchor="_Toc70679805" w:history="1">
        <w:r w:rsidRPr="00AF3D9B">
          <w:rPr>
            <w:rStyle w:val="Hyperlink"/>
            <w:rFonts w:hint="eastAsia"/>
            <w:noProof/>
          </w:rPr>
          <w:t>在线服务变更与可用性</w:t>
        </w:r>
        <w:r>
          <w:rPr>
            <w:noProof/>
            <w:webHidden/>
          </w:rPr>
          <w:tab/>
        </w:r>
        <w:r>
          <w:rPr>
            <w:noProof/>
            <w:webHidden/>
          </w:rPr>
          <w:fldChar w:fldCharType="begin"/>
        </w:r>
        <w:r>
          <w:rPr>
            <w:noProof/>
            <w:webHidden/>
          </w:rPr>
          <w:instrText xml:space="preserve"> PAGEREF _Toc70679805 \h </w:instrText>
        </w:r>
        <w:r>
          <w:rPr>
            <w:noProof/>
            <w:webHidden/>
          </w:rPr>
        </w:r>
        <w:r>
          <w:rPr>
            <w:noProof/>
            <w:webHidden/>
          </w:rPr>
          <w:fldChar w:fldCharType="separate"/>
        </w:r>
        <w:r>
          <w:rPr>
            <w:noProof/>
            <w:webHidden/>
          </w:rPr>
          <w:t>6</w:t>
        </w:r>
        <w:r>
          <w:rPr>
            <w:noProof/>
            <w:webHidden/>
          </w:rPr>
          <w:fldChar w:fldCharType="end"/>
        </w:r>
      </w:hyperlink>
    </w:p>
    <w:p w14:paraId="2DBC7FAD" w14:textId="38E697FF" w:rsidR="0096279F" w:rsidRDefault="0096279F">
      <w:pPr>
        <w:pStyle w:val="TOC5"/>
        <w:rPr>
          <w:rFonts w:eastAsiaTheme="minorEastAsia"/>
          <w:noProof/>
          <w:sz w:val="22"/>
        </w:rPr>
      </w:pPr>
      <w:hyperlink w:anchor="_Toc70679806" w:history="1">
        <w:r w:rsidRPr="00AF3D9B">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_Toc70679806 \h </w:instrText>
        </w:r>
        <w:r>
          <w:rPr>
            <w:noProof/>
            <w:webHidden/>
          </w:rPr>
        </w:r>
        <w:r>
          <w:rPr>
            <w:noProof/>
            <w:webHidden/>
          </w:rPr>
          <w:fldChar w:fldCharType="separate"/>
        </w:r>
        <w:r>
          <w:rPr>
            <w:noProof/>
            <w:webHidden/>
          </w:rPr>
          <w:t>6</w:t>
        </w:r>
        <w:r>
          <w:rPr>
            <w:noProof/>
            <w:webHidden/>
          </w:rPr>
          <w:fldChar w:fldCharType="end"/>
        </w:r>
      </w:hyperlink>
    </w:p>
    <w:p w14:paraId="337ACA4B" w14:textId="7C164DCE" w:rsidR="0096279F" w:rsidRDefault="0096279F">
      <w:pPr>
        <w:pStyle w:val="TOC5"/>
        <w:rPr>
          <w:rFonts w:eastAsiaTheme="minorEastAsia"/>
          <w:noProof/>
          <w:sz w:val="22"/>
        </w:rPr>
      </w:pPr>
      <w:hyperlink w:anchor="_Toc70679807" w:history="1">
        <w:r w:rsidRPr="00AF3D9B">
          <w:rPr>
            <w:rStyle w:val="Hyperlink"/>
            <w:rFonts w:hint="eastAsia"/>
            <w:noProof/>
          </w:rPr>
          <w:t>遵守法律</w:t>
        </w:r>
        <w:r>
          <w:rPr>
            <w:noProof/>
            <w:webHidden/>
          </w:rPr>
          <w:tab/>
        </w:r>
        <w:r>
          <w:rPr>
            <w:noProof/>
            <w:webHidden/>
          </w:rPr>
          <w:fldChar w:fldCharType="begin"/>
        </w:r>
        <w:r>
          <w:rPr>
            <w:noProof/>
            <w:webHidden/>
          </w:rPr>
          <w:instrText xml:space="preserve"> PAGEREF _Toc70679807 \h </w:instrText>
        </w:r>
        <w:r>
          <w:rPr>
            <w:noProof/>
            <w:webHidden/>
          </w:rPr>
        </w:r>
        <w:r>
          <w:rPr>
            <w:noProof/>
            <w:webHidden/>
          </w:rPr>
          <w:fldChar w:fldCharType="separate"/>
        </w:r>
        <w:r>
          <w:rPr>
            <w:noProof/>
            <w:webHidden/>
          </w:rPr>
          <w:t>6</w:t>
        </w:r>
        <w:r>
          <w:rPr>
            <w:noProof/>
            <w:webHidden/>
          </w:rPr>
          <w:fldChar w:fldCharType="end"/>
        </w:r>
      </w:hyperlink>
    </w:p>
    <w:p w14:paraId="08AF6CCD" w14:textId="376397A9" w:rsidR="0096279F" w:rsidRDefault="0096279F">
      <w:pPr>
        <w:pStyle w:val="TOC5"/>
        <w:rPr>
          <w:rFonts w:eastAsiaTheme="minorEastAsia"/>
          <w:noProof/>
          <w:sz w:val="22"/>
        </w:rPr>
      </w:pPr>
      <w:hyperlink w:anchor="_Toc70679808" w:history="1">
        <w:r w:rsidRPr="00AF3D9B">
          <w:rPr>
            <w:rStyle w:val="Hyperlink"/>
            <w:rFonts w:hint="eastAsia"/>
            <w:noProof/>
          </w:rPr>
          <w:t>其他</w:t>
        </w:r>
        <w:r>
          <w:rPr>
            <w:noProof/>
            <w:webHidden/>
          </w:rPr>
          <w:tab/>
        </w:r>
        <w:r>
          <w:rPr>
            <w:noProof/>
            <w:webHidden/>
          </w:rPr>
          <w:fldChar w:fldCharType="begin"/>
        </w:r>
        <w:r>
          <w:rPr>
            <w:noProof/>
            <w:webHidden/>
          </w:rPr>
          <w:instrText xml:space="preserve"> PAGEREF _Toc70679808 \h </w:instrText>
        </w:r>
        <w:r>
          <w:rPr>
            <w:noProof/>
            <w:webHidden/>
          </w:rPr>
        </w:r>
        <w:r>
          <w:rPr>
            <w:noProof/>
            <w:webHidden/>
          </w:rPr>
          <w:fldChar w:fldCharType="separate"/>
        </w:r>
        <w:r>
          <w:rPr>
            <w:noProof/>
            <w:webHidden/>
          </w:rPr>
          <w:t>7</w:t>
        </w:r>
        <w:r>
          <w:rPr>
            <w:noProof/>
            <w:webHidden/>
          </w:rPr>
          <w:fldChar w:fldCharType="end"/>
        </w:r>
      </w:hyperlink>
    </w:p>
    <w:p w14:paraId="4CEDA7DF" w14:textId="74B4398C" w:rsidR="0096279F" w:rsidRDefault="0096279F">
      <w:pPr>
        <w:pStyle w:val="TOC1"/>
        <w:tabs>
          <w:tab w:val="right" w:leader="dot" w:pos="5030"/>
        </w:tabs>
        <w:rPr>
          <w:rFonts w:eastAsiaTheme="minorEastAsia"/>
          <w:b w:val="0"/>
          <w:caps w:val="0"/>
          <w:noProof/>
          <w:sz w:val="22"/>
        </w:rPr>
      </w:pPr>
      <w:hyperlink w:anchor="_Toc70679809" w:history="1">
        <w:r w:rsidRPr="00AF3D9B">
          <w:rPr>
            <w:rStyle w:val="Hyperlink"/>
            <w:rFonts w:hint="eastAsia"/>
            <w:noProof/>
          </w:rPr>
          <w:t>数据保护条款</w:t>
        </w:r>
        <w:r>
          <w:rPr>
            <w:noProof/>
            <w:webHidden/>
          </w:rPr>
          <w:tab/>
        </w:r>
        <w:r>
          <w:rPr>
            <w:noProof/>
            <w:webHidden/>
          </w:rPr>
          <w:fldChar w:fldCharType="begin"/>
        </w:r>
        <w:r>
          <w:rPr>
            <w:noProof/>
            <w:webHidden/>
          </w:rPr>
          <w:instrText xml:space="preserve"> PAGEREF _Toc70679809 \h </w:instrText>
        </w:r>
        <w:r>
          <w:rPr>
            <w:noProof/>
            <w:webHidden/>
          </w:rPr>
        </w:r>
        <w:r>
          <w:rPr>
            <w:noProof/>
            <w:webHidden/>
          </w:rPr>
          <w:fldChar w:fldCharType="separate"/>
        </w:r>
        <w:r>
          <w:rPr>
            <w:noProof/>
            <w:webHidden/>
          </w:rPr>
          <w:t>9</w:t>
        </w:r>
        <w:r>
          <w:rPr>
            <w:noProof/>
            <w:webHidden/>
          </w:rPr>
          <w:fldChar w:fldCharType="end"/>
        </w:r>
      </w:hyperlink>
    </w:p>
    <w:p w14:paraId="544E0714" w14:textId="7DFF1730" w:rsidR="0096279F" w:rsidRDefault="0096279F">
      <w:pPr>
        <w:pStyle w:val="TOC5"/>
        <w:rPr>
          <w:rFonts w:eastAsiaTheme="minorEastAsia"/>
          <w:noProof/>
          <w:sz w:val="22"/>
        </w:rPr>
      </w:pPr>
      <w:hyperlink w:anchor="_Toc70679810" w:history="1">
        <w:r w:rsidRPr="00AF3D9B">
          <w:rPr>
            <w:rStyle w:val="Hyperlink"/>
            <w:rFonts w:hint="eastAsia"/>
            <w:noProof/>
          </w:rPr>
          <w:t>范围</w:t>
        </w:r>
        <w:r>
          <w:rPr>
            <w:noProof/>
            <w:webHidden/>
          </w:rPr>
          <w:tab/>
        </w:r>
        <w:r>
          <w:rPr>
            <w:noProof/>
            <w:webHidden/>
          </w:rPr>
          <w:fldChar w:fldCharType="begin"/>
        </w:r>
        <w:r>
          <w:rPr>
            <w:noProof/>
            <w:webHidden/>
          </w:rPr>
          <w:instrText xml:space="preserve"> PAGEREF _Toc70679810 \h </w:instrText>
        </w:r>
        <w:r>
          <w:rPr>
            <w:noProof/>
            <w:webHidden/>
          </w:rPr>
        </w:r>
        <w:r>
          <w:rPr>
            <w:noProof/>
            <w:webHidden/>
          </w:rPr>
          <w:fldChar w:fldCharType="separate"/>
        </w:r>
        <w:r>
          <w:rPr>
            <w:noProof/>
            <w:webHidden/>
          </w:rPr>
          <w:t>9</w:t>
        </w:r>
        <w:r>
          <w:rPr>
            <w:noProof/>
            <w:webHidden/>
          </w:rPr>
          <w:fldChar w:fldCharType="end"/>
        </w:r>
      </w:hyperlink>
    </w:p>
    <w:p w14:paraId="507267C7" w14:textId="1976CD85" w:rsidR="0096279F" w:rsidRDefault="0096279F">
      <w:pPr>
        <w:pStyle w:val="TOC5"/>
        <w:rPr>
          <w:rFonts w:eastAsiaTheme="minorEastAsia"/>
          <w:noProof/>
          <w:sz w:val="22"/>
        </w:rPr>
      </w:pPr>
      <w:hyperlink w:anchor="_Toc70679811" w:history="1">
        <w:r w:rsidRPr="00AF3D9B">
          <w:rPr>
            <w:rStyle w:val="Hyperlink"/>
            <w:rFonts w:hint="eastAsia"/>
            <w:noProof/>
          </w:rPr>
          <w:t>客户数据处理；所有权</w:t>
        </w:r>
        <w:r>
          <w:rPr>
            <w:noProof/>
            <w:webHidden/>
          </w:rPr>
          <w:tab/>
        </w:r>
        <w:r>
          <w:rPr>
            <w:noProof/>
            <w:webHidden/>
          </w:rPr>
          <w:fldChar w:fldCharType="begin"/>
        </w:r>
        <w:r>
          <w:rPr>
            <w:noProof/>
            <w:webHidden/>
          </w:rPr>
          <w:instrText xml:space="preserve"> PAGEREF _Toc70679811 \h </w:instrText>
        </w:r>
        <w:r>
          <w:rPr>
            <w:noProof/>
            <w:webHidden/>
          </w:rPr>
        </w:r>
        <w:r>
          <w:rPr>
            <w:noProof/>
            <w:webHidden/>
          </w:rPr>
          <w:fldChar w:fldCharType="separate"/>
        </w:r>
        <w:r>
          <w:rPr>
            <w:noProof/>
            <w:webHidden/>
          </w:rPr>
          <w:t>9</w:t>
        </w:r>
        <w:r>
          <w:rPr>
            <w:noProof/>
            <w:webHidden/>
          </w:rPr>
          <w:fldChar w:fldCharType="end"/>
        </w:r>
      </w:hyperlink>
    </w:p>
    <w:p w14:paraId="50040B25" w14:textId="1FBB0939" w:rsidR="0096279F" w:rsidRDefault="0096279F">
      <w:pPr>
        <w:pStyle w:val="TOC5"/>
        <w:rPr>
          <w:rFonts w:eastAsiaTheme="minorEastAsia"/>
          <w:noProof/>
          <w:sz w:val="22"/>
        </w:rPr>
      </w:pPr>
      <w:hyperlink w:anchor="_Toc70679812" w:history="1">
        <w:r w:rsidRPr="00AF3D9B">
          <w:rPr>
            <w:rStyle w:val="Hyperlink"/>
            <w:rFonts w:hint="eastAsia"/>
            <w:noProof/>
          </w:rPr>
          <w:t>客户数据</w:t>
        </w:r>
        <w:r w:rsidRPr="00AF3D9B">
          <w:rPr>
            <w:rStyle w:val="Hyperlink"/>
            <w:rFonts w:cstheme="minorHAnsi" w:hint="eastAsia"/>
            <w:noProof/>
          </w:rPr>
          <w:t>和个人数据</w:t>
        </w:r>
        <w:r w:rsidRPr="00AF3D9B">
          <w:rPr>
            <w:rStyle w:val="Hyperlink"/>
            <w:rFonts w:hint="eastAsia"/>
            <w:noProof/>
          </w:rPr>
          <w:t>的披露</w:t>
        </w:r>
        <w:r>
          <w:rPr>
            <w:noProof/>
            <w:webHidden/>
          </w:rPr>
          <w:tab/>
        </w:r>
        <w:r>
          <w:rPr>
            <w:noProof/>
            <w:webHidden/>
          </w:rPr>
          <w:fldChar w:fldCharType="begin"/>
        </w:r>
        <w:r>
          <w:rPr>
            <w:noProof/>
            <w:webHidden/>
          </w:rPr>
          <w:instrText xml:space="preserve"> PAGEREF _Toc70679812 \h </w:instrText>
        </w:r>
        <w:r>
          <w:rPr>
            <w:noProof/>
            <w:webHidden/>
          </w:rPr>
        </w:r>
        <w:r>
          <w:rPr>
            <w:noProof/>
            <w:webHidden/>
          </w:rPr>
          <w:fldChar w:fldCharType="separate"/>
        </w:r>
        <w:r>
          <w:rPr>
            <w:noProof/>
            <w:webHidden/>
          </w:rPr>
          <w:t>9</w:t>
        </w:r>
        <w:r>
          <w:rPr>
            <w:noProof/>
            <w:webHidden/>
          </w:rPr>
          <w:fldChar w:fldCharType="end"/>
        </w:r>
      </w:hyperlink>
    </w:p>
    <w:p w14:paraId="462C59B7" w14:textId="331FF853" w:rsidR="0096279F" w:rsidRDefault="0096279F">
      <w:pPr>
        <w:pStyle w:val="TOC5"/>
        <w:rPr>
          <w:rFonts w:eastAsiaTheme="minorEastAsia"/>
          <w:noProof/>
          <w:sz w:val="22"/>
        </w:rPr>
      </w:pPr>
      <w:hyperlink w:anchor="_Toc70679813" w:history="1">
        <w:r w:rsidRPr="00AF3D9B">
          <w:rPr>
            <w:rStyle w:val="Hyperlink"/>
            <w:rFonts w:hint="eastAsia"/>
            <w:noProof/>
          </w:rPr>
          <w:t>个人数据处理；</w:t>
        </w:r>
        <w:r w:rsidRPr="00AF3D9B">
          <w:rPr>
            <w:rStyle w:val="Hyperlink"/>
            <w:noProof/>
          </w:rPr>
          <w:t>GDPR</w:t>
        </w:r>
        <w:r>
          <w:rPr>
            <w:noProof/>
            <w:webHidden/>
          </w:rPr>
          <w:tab/>
        </w:r>
        <w:r>
          <w:rPr>
            <w:noProof/>
            <w:webHidden/>
          </w:rPr>
          <w:fldChar w:fldCharType="begin"/>
        </w:r>
        <w:r>
          <w:rPr>
            <w:noProof/>
            <w:webHidden/>
          </w:rPr>
          <w:instrText xml:space="preserve"> PAGEREF _Toc70679813 \h </w:instrText>
        </w:r>
        <w:r>
          <w:rPr>
            <w:noProof/>
            <w:webHidden/>
          </w:rPr>
        </w:r>
        <w:r>
          <w:rPr>
            <w:noProof/>
            <w:webHidden/>
          </w:rPr>
          <w:fldChar w:fldCharType="separate"/>
        </w:r>
        <w:r>
          <w:rPr>
            <w:noProof/>
            <w:webHidden/>
          </w:rPr>
          <w:t>9</w:t>
        </w:r>
        <w:r>
          <w:rPr>
            <w:noProof/>
            <w:webHidden/>
          </w:rPr>
          <w:fldChar w:fldCharType="end"/>
        </w:r>
      </w:hyperlink>
    </w:p>
    <w:p w14:paraId="2E7AA210" w14:textId="5EC02B4E" w:rsidR="0096279F" w:rsidRDefault="0096279F">
      <w:pPr>
        <w:pStyle w:val="TOC5"/>
        <w:rPr>
          <w:rFonts w:eastAsiaTheme="minorEastAsia"/>
          <w:noProof/>
          <w:sz w:val="22"/>
        </w:rPr>
      </w:pPr>
      <w:hyperlink w:anchor="_Toc70679814" w:history="1">
        <w:r w:rsidRPr="00AF3D9B">
          <w:rPr>
            <w:rStyle w:val="Hyperlink"/>
            <w:rFonts w:hint="eastAsia"/>
            <w:noProof/>
          </w:rPr>
          <w:t>数据安全</w:t>
        </w:r>
        <w:r>
          <w:rPr>
            <w:noProof/>
            <w:webHidden/>
          </w:rPr>
          <w:tab/>
        </w:r>
        <w:r>
          <w:rPr>
            <w:noProof/>
            <w:webHidden/>
          </w:rPr>
          <w:fldChar w:fldCharType="begin"/>
        </w:r>
        <w:r>
          <w:rPr>
            <w:noProof/>
            <w:webHidden/>
          </w:rPr>
          <w:instrText xml:space="preserve"> PAGEREF _Toc70679814 \h </w:instrText>
        </w:r>
        <w:r>
          <w:rPr>
            <w:noProof/>
            <w:webHidden/>
          </w:rPr>
        </w:r>
        <w:r>
          <w:rPr>
            <w:noProof/>
            <w:webHidden/>
          </w:rPr>
          <w:fldChar w:fldCharType="separate"/>
        </w:r>
        <w:r>
          <w:rPr>
            <w:noProof/>
            <w:webHidden/>
          </w:rPr>
          <w:t>10</w:t>
        </w:r>
        <w:r>
          <w:rPr>
            <w:noProof/>
            <w:webHidden/>
          </w:rPr>
          <w:fldChar w:fldCharType="end"/>
        </w:r>
      </w:hyperlink>
    </w:p>
    <w:p w14:paraId="31A81ED3" w14:textId="183E07CA" w:rsidR="0096279F" w:rsidRDefault="0096279F">
      <w:pPr>
        <w:pStyle w:val="TOC5"/>
        <w:rPr>
          <w:rFonts w:eastAsiaTheme="minorEastAsia"/>
          <w:noProof/>
          <w:sz w:val="22"/>
        </w:rPr>
      </w:pPr>
      <w:hyperlink w:anchor="_Toc70679815" w:history="1">
        <w:r w:rsidRPr="00AF3D9B">
          <w:rPr>
            <w:rStyle w:val="Hyperlink"/>
            <w:rFonts w:hint="eastAsia"/>
            <w:noProof/>
          </w:rPr>
          <w:t>安全事件通知</w:t>
        </w:r>
        <w:r>
          <w:rPr>
            <w:noProof/>
            <w:webHidden/>
          </w:rPr>
          <w:tab/>
        </w:r>
        <w:r>
          <w:rPr>
            <w:noProof/>
            <w:webHidden/>
          </w:rPr>
          <w:fldChar w:fldCharType="begin"/>
        </w:r>
        <w:r>
          <w:rPr>
            <w:noProof/>
            <w:webHidden/>
          </w:rPr>
          <w:instrText xml:space="preserve"> PAGEREF _Toc70679815 \h </w:instrText>
        </w:r>
        <w:r>
          <w:rPr>
            <w:noProof/>
            <w:webHidden/>
          </w:rPr>
        </w:r>
        <w:r>
          <w:rPr>
            <w:noProof/>
            <w:webHidden/>
          </w:rPr>
          <w:fldChar w:fldCharType="separate"/>
        </w:r>
        <w:r>
          <w:rPr>
            <w:noProof/>
            <w:webHidden/>
          </w:rPr>
          <w:t>10</w:t>
        </w:r>
        <w:r>
          <w:rPr>
            <w:noProof/>
            <w:webHidden/>
          </w:rPr>
          <w:fldChar w:fldCharType="end"/>
        </w:r>
      </w:hyperlink>
    </w:p>
    <w:p w14:paraId="19B3446B" w14:textId="7E9E6658" w:rsidR="0096279F" w:rsidRDefault="0096279F">
      <w:pPr>
        <w:pStyle w:val="TOC5"/>
        <w:rPr>
          <w:rFonts w:eastAsiaTheme="minorEastAsia"/>
          <w:noProof/>
          <w:sz w:val="22"/>
        </w:rPr>
      </w:pPr>
      <w:hyperlink w:anchor="_Toc70679816" w:history="1">
        <w:r w:rsidRPr="00AF3D9B">
          <w:rPr>
            <w:rStyle w:val="Hyperlink"/>
            <w:rFonts w:hint="eastAsia"/>
            <w:noProof/>
          </w:rPr>
          <w:t>数据位置</w:t>
        </w:r>
        <w:r>
          <w:rPr>
            <w:noProof/>
            <w:webHidden/>
          </w:rPr>
          <w:tab/>
        </w:r>
        <w:r>
          <w:rPr>
            <w:noProof/>
            <w:webHidden/>
          </w:rPr>
          <w:fldChar w:fldCharType="begin"/>
        </w:r>
        <w:r>
          <w:rPr>
            <w:noProof/>
            <w:webHidden/>
          </w:rPr>
          <w:instrText xml:space="preserve"> PAGEREF _Toc70679816 \h </w:instrText>
        </w:r>
        <w:r>
          <w:rPr>
            <w:noProof/>
            <w:webHidden/>
          </w:rPr>
        </w:r>
        <w:r>
          <w:rPr>
            <w:noProof/>
            <w:webHidden/>
          </w:rPr>
          <w:fldChar w:fldCharType="separate"/>
        </w:r>
        <w:r>
          <w:rPr>
            <w:noProof/>
            <w:webHidden/>
          </w:rPr>
          <w:t>11</w:t>
        </w:r>
        <w:r>
          <w:rPr>
            <w:noProof/>
            <w:webHidden/>
          </w:rPr>
          <w:fldChar w:fldCharType="end"/>
        </w:r>
      </w:hyperlink>
    </w:p>
    <w:p w14:paraId="0D548674" w14:textId="6DE27F01" w:rsidR="0096279F" w:rsidRDefault="0096279F">
      <w:pPr>
        <w:pStyle w:val="TOC5"/>
        <w:rPr>
          <w:rFonts w:eastAsiaTheme="minorEastAsia"/>
          <w:noProof/>
          <w:sz w:val="22"/>
        </w:rPr>
      </w:pPr>
      <w:hyperlink w:anchor="_Toc70679817" w:history="1">
        <w:r w:rsidRPr="00AF3D9B">
          <w:rPr>
            <w:rStyle w:val="Hyperlink"/>
            <w:rFonts w:hint="eastAsia"/>
            <w:noProof/>
          </w:rPr>
          <w:t>数据保留和删除</w:t>
        </w:r>
        <w:r>
          <w:rPr>
            <w:noProof/>
            <w:webHidden/>
          </w:rPr>
          <w:tab/>
        </w:r>
        <w:r>
          <w:rPr>
            <w:noProof/>
            <w:webHidden/>
          </w:rPr>
          <w:fldChar w:fldCharType="begin"/>
        </w:r>
        <w:r>
          <w:rPr>
            <w:noProof/>
            <w:webHidden/>
          </w:rPr>
          <w:instrText xml:space="preserve"> PAGEREF _Toc70679817 \h </w:instrText>
        </w:r>
        <w:r>
          <w:rPr>
            <w:noProof/>
            <w:webHidden/>
          </w:rPr>
        </w:r>
        <w:r>
          <w:rPr>
            <w:noProof/>
            <w:webHidden/>
          </w:rPr>
          <w:fldChar w:fldCharType="separate"/>
        </w:r>
        <w:r>
          <w:rPr>
            <w:noProof/>
            <w:webHidden/>
          </w:rPr>
          <w:t>11</w:t>
        </w:r>
        <w:r>
          <w:rPr>
            <w:noProof/>
            <w:webHidden/>
          </w:rPr>
          <w:fldChar w:fldCharType="end"/>
        </w:r>
      </w:hyperlink>
    </w:p>
    <w:p w14:paraId="7EB6D1D9" w14:textId="779DA6D0" w:rsidR="0096279F" w:rsidRDefault="0096279F">
      <w:pPr>
        <w:pStyle w:val="TOC5"/>
        <w:rPr>
          <w:rFonts w:eastAsiaTheme="minorEastAsia"/>
          <w:noProof/>
          <w:sz w:val="22"/>
        </w:rPr>
      </w:pPr>
      <w:hyperlink w:anchor="_Toc70679818" w:history="1">
        <w:r w:rsidRPr="00AF3D9B">
          <w:rPr>
            <w:rStyle w:val="Hyperlink"/>
            <w:rFonts w:hint="eastAsia"/>
            <w:noProof/>
          </w:rPr>
          <w:t>处理方保密承诺</w:t>
        </w:r>
        <w:r>
          <w:rPr>
            <w:noProof/>
            <w:webHidden/>
          </w:rPr>
          <w:tab/>
        </w:r>
        <w:r>
          <w:rPr>
            <w:noProof/>
            <w:webHidden/>
          </w:rPr>
          <w:fldChar w:fldCharType="begin"/>
        </w:r>
        <w:r>
          <w:rPr>
            <w:noProof/>
            <w:webHidden/>
          </w:rPr>
          <w:instrText xml:space="preserve"> PAGEREF _Toc70679818 \h </w:instrText>
        </w:r>
        <w:r>
          <w:rPr>
            <w:noProof/>
            <w:webHidden/>
          </w:rPr>
        </w:r>
        <w:r>
          <w:rPr>
            <w:noProof/>
            <w:webHidden/>
          </w:rPr>
          <w:fldChar w:fldCharType="separate"/>
        </w:r>
        <w:r>
          <w:rPr>
            <w:noProof/>
            <w:webHidden/>
          </w:rPr>
          <w:t>11</w:t>
        </w:r>
        <w:r>
          <w:rPr>
            <w:noProof/>
            <w:webHidden/>
          </w:rPr>
          <w:fldChar w:fldCharType="end"/>
        </w:r>
      </w:hyperlink>
    </w:p>
    <w:p w14:paraId="469D7D80" w14:textId="37017ED0" w:rsidR="0096279F" w:rsidRDefault="0096279F">
      <w:pPr>
        <w:pStyle w:val="TOC5"/>
        <w:rPr>
          <w:rFonts w:eastAsiaTheme="minorEastAsia"/>
          <w:noProof/>
          <w:sz w:val="22"/>
        </w:rPr>
      </w:pPr>
      <w:hyperlink w:anchor="_Toc70679819" w:history="1">
        <w:r w:rsidRPr="00AF3D9B">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_Toc70679819 \h </w:instrText>
        </w:r>
        <w:r>
          <w:rPr>
            <w:noProof/>
            <w:webHidden/>
          </w:rPr>
        </w:r>
        <w:r>
          <w:rPr>
            <w:noProof/>
            <w:webHidden/>
          </w:rPr>
          <w:fldChar w:fldCharType="separate"/>
        </w:r>
        <w:r>
          <w:rPr>
            <w:noProof/>
            <w:webHidden/>
          </w:rPr>
          <w:t>11</w:t>
        </w:r>
        <w:r>
          <w:rPr>
            <w:noProof/>
            <w:webHidden/>
          </w:rPr>
          <w:fldChar w:fldCharType="end"/>
        </w:r>
      </w:hyperlink>
    </w:p>
    <w:p w14:paraId="22E46128" w14:textId="1A276D53" w:rsidR="0096279F" w:rsidRDefault="0096279F">
      <w:pPr>
        <w:pStyle w:val="TOC5"/>
        <w:rPr>
          <w:rFonts w:eastAsiaTheme="minorEastAsia"/>
          <w:noProof/>
          <w:sz w:val="22"/>
        </w:rPr>
      </w:pPr>
      <w:hyperlink w:anchor="_Toc70679820" w:history="1">
        <w:r w:rsidRPr="00AF3D9B">
          <w:rPr>
            <w:rStyle w:val="Hyperlink"/>
            <w:rFonts w:hint="eastAsia"/>
            <w:noProof/>
          </w:rPr>
          <w:t>如何联系世纪互联</w:t>
        </w:r>
        <w:r>
          <w:rPr>
            <w:noProof/>
            <w:webHidden/>
          </w:rPr>
          <w:tab/>
        </w:r>
        <w:r>
          <w:rPr>
            <w:noProof/>
            <w:webHidden/>
          </w:rPr>
          <w:fldChar w:fldCharType="begin"/>
        </w:r>
        <w:r>
          <w:rPr>
            <w:noProof/>
            <w:webHidden/>
          </w:rPr>
          <w:instrText xml:space="preserve"> PAGEREF _Toc70679820 \h </w:instrText>
        </w:r>
        <w:r>
          <w:rPr>
            <w:noProof/>
            <w:webHidden/>
          </w:rPr>
        </w:r>
        <w:r>
          <w:rPr>
            <w:noProof/>
            <w:webHidden/>
          </w:rPr>
          <w:fldChar w:fldCharType="separate"/>
        </w:r>
        <w:r>
          <w:rPr>
            <w:noProof/>
            <w:webHidden/>
          </w:rPr>
          <w:t>11</w:t>
        </w:r>
        <w:r>
          <w:rPr>
            <w:noProof/>
            <w:webHidden/>
          </w:rPr>
          <w:fldChar w:fldCharType="end"/>
        </w:r>
      </w:hyperlink>
    </w:p>
    <w:p w14:paraId="2E700437" w14:textId="1B654B9F" w:rsidR="0096279F" w:rsidRDefault="0096279F">
      <w:pPr>
        <w:pStyle w:val="TOC1"/>
        <w:tabs>
          <w:tab w:val="right" w:leader="dot" w:pos="5030"/>
        </w:tabs>
        <w:rPr>
          <w:rFonts w:eastAsiaTheme="minorEastAsia"/>
          <w:b w:val="0"/>
          <w:caps w:val="0"/>
          <w:noProof/>
          <w:sz w:val="22"/>
        </w:rPr>
      </w:pPr>
      <w:hyperlink w:anchor="_Toc70679821" w:history="1">
        <w:r w:rsidRPr="00AF3D9B">
          <w:rPr>
            <w:rStyle w:val="Hyperlink"/>
            <w:rFonts w:hint="eastAsia"/>
            <w:noProof/>
          </w:rPr>
          <w:t>附录</w:t>
        </w:r>
        <w:r w:rsidRPr="00AF3D9B">
          <w:rPr>
            <w:rStyle w:val="Hyperlink"/>
            <w:noProof/>
          </w:rPr>
          <w:t xml:space="preserve"> A</w:t>
        </w:r>
        <w:r w:rsidRPr="00AF3D9B">
          <w:rPr>
            <w:rStyle w:val="Hyperlink"/>
            <w:rFonts w:hint="eastAsia"/>
            <w:noProof/>
          </w:rPr>
          <w:t>——核心在线服务</w:t>
        </w:r>
        <w:r>
          <w:rPr>
            <w:noProof/>
            <w:webHidden/>
          </w:rPr>
          <w:tab/>
        </w:r>
        <w:r>
          <w:rPr>
            <w:noProof/>
            <w:webHidden/>
          </w:rPr>
          <w:fldChar w:fldCharType="begin"/>
        </w:r>
        <w:r>
          <w:rPr>
            <w:noProof/>
            <w:webHidden/>
          </w:rPr>
          <w:instrText xml:space="preserve"> PAGEREF _Toc70679821 \h </w:instrText>
        </w:r>
        <w:r>
          <w:rPr>
            <w:noProof/>
            <w:webHidden/>
          </w:rPr>
        </w:r>
        <w:r>
          <w:rPr>
            <w:noProof/>
            <w:webHidden/>
          </w:rPr>
          <w:fldChar w:fldCharType="separate"/>
        </w:r>
        <w:r>
          <w:rPr>
            <w:noProof/>
            <w:webHidden/>
          </w:rPr>
          <w:t>12</w:t>
        </w:r>
        <w:r>
          <w:rPr>
            <w:noProof/>
            <w:webHidden/>
          </w:rPr>
          <w:fldChar w:fldCharType="end"/>
        </w:r>
      </w:hyperlink>
    </w:p>
    <w:p w14:paraId="1A5E6CCD" w14:textId="6A8CFFC2" w:rsidR="0096279F" w:rsidRDefault="0096279F">
      <w:pPr>
        <w:pStyle w:val="TOC1"/>
        <w:tabs>
          <w:tab w:val="right" w:leader="dot" w:pos="5030"/>
        </w:tabs>
        <w:rPr>
          <w:rFonts w:eastAsiaTheme="minorEastAsia"/>
          <w:b w:val="0"/>
          <w:caps w:val="0"/>
          <w:noProof/>
          <w:sz w:val="22"/>
        </w:rPr>
      </w:pPr>
      <w:hyperlink w:anchor="_Toc70679822" w:history="1">
        <w:r w:rsidRPr="00AF3D9B">
          <w:rPr>
            <w:rStyle w:val="Hyperlink"/>
            <w:rFonts w:hint="eastAsia"/>
            <w:noProof/>
          </w:rPr>
          <w:t>附录</w:t>
        </w:r>
        <w:r w:rsidRPr="00AF3D9B">
          <w:rPr>
            <w:rStyle w:val="Hyperlink"/>
            <w:noProof/>
          </w:rPr>
          <w:t xml:space="preserve"> B</w:t>
        </w:r>
        <w:r w:rsidRPr="00AF3D9B">
          <w:rPr>
            <w:rStyle w:val="Hyperlink"/>
            <w:rFonts w:hint="eastAsia"/>
            <w:noProof/>
          </w:rPr>
          <w:t>——安全措施</w:t>
        </w:r>
        <w:r>
          <w:rPr>
            <w:noProof/>
            <w:webHidden/>
          </w:rPr>
          <w:tab/>
        </w:r>
        <w:r>
          <w:rPr>
            <w:noProof/>
            <w:webHidden/>
          </w:rPr>
          <w:fldChar w:fldCharType="begin"/>
        </w:r>
        <w:r>
          <w:rPr>
            <w:noProof/>
            <w:webHidden/>
          </w:rPr>
          <w:instrText xml:space="preserve"> PAGEREF _Toc70679822 \h </w:instrText>
        </w:r>
        <w:r>
          <w:rPr>
            <w:noProof/>
            <w:webHidden/>
          </w:rPr>
        </w:r>
        <w:r>
          <w:rPr>
            <w:noProof/>
            <w:webHidden/>
          </w:rPr>
          <w:fldChar w:fldCharType="separate"/>
        </w:r>
        <w:r>
          <w:rPr>
            <w:noProof/>
            <w:webHidden/>
          </w:rPr>
          <w:t>12</w:t>
        </w:r>
        <w:r>
          <w:rPr>
            <w:noProof/>
            <w:webHidden/>
          </w:rPr>
          <w:fldChar w:fldCharType="end"/>
        </w:r>
      </w:hyperlink>
    </w:p>
    <w:p w14:paraId="3380BE81" w14:textId="0A52345A" w:rsidR="0096279F" w:rsidRDefault="0096279F">
      <w:pPr>
        <w:pStyle w:val="TOC1"/>
        <w:tabs>
          <w:tab w:val="right" w:leader="dot" w:pos="5030"/>
        </w:tabs>
        <w:rPr>
          <w:rFonts w:eastAsiaTheme="minorEastAsia"/>
          <w:b w:val="0"/>
          <w:caps w:val="0"/>
          <w:noProof/>
          <w:sz w:val="22"/>
        </w:rPr>
      </w:pPr>
      <w:hyperlink w:anchor="_Toc70679823" w:history="1">
        <w:r w:rsidRPr="00AF3D9B">
          <w:rPr>
            <w:rStyle w:val="Hyperlink"/>
            <w:rFonts w:hint="eastAsia"/>
            <w:noProof/>
          </w:rPr>
          <w:t>特定于在线服务的条款</w:t>
        </w:r>
        <w:r>
          <w:rPr>
            <w:noProof/>
            <w:webHidden/>
          </w:rPr>
          <w:tab/>
        </w:r>
        <w:r>
          <w:rPr>
            <w:noProof/>
            <w:webHidden/>
          </w:rPr>
          <w:fldChar w:fldCharType="begin"/>
        </w:r>
        <w:r>
          <w:rPr>
            <w:noProof/>
            <w:webHidden/>
          </w:rPr>
          <w:instrText xml:space="preserve"> PAGEREF _Toc70679823 \h </w:instrText>
        </w:r>
        <w:r>
          <w:rPr>
            <w:noProof/>
            <w:webHidden/>
          </w:rPr>
        </w:r>
        <w:r>
          <w:rPr>
            <w:noProof/>
            <w:webHidden/>
          </w:rPr>
          <w:fldChar w:fldCharType="separate"/>
        </w:r>
        <w:r>
          <w:rPr>
            <w:noProof/>
            <w:webHidden/>
          </w:rPr>
          <w:t>14</w:t>
        </w:r>
        <w:r>
          <w:rPr>
            <w:noProof/>
            <w:webHidden/>
          </w:rPr>
          <w:fldChar w:fldCharType="end"/>
        </w:r>
      </w:hyperlink>
    </w:p>
    <w:p w14:paraId="6D192005" w14:textId="69B34D42" w:rsidR="0096279F" w:rsidRDefault="0096279F">
      <w:pPr>
        <w:pStyle w:val="TOC2"/>
        <w:tabs>
          <w:tab w:val="right" w:leader="dot" w:pos="5030"/>
        </w:tabs>
        <w:rPr>
          <w:rFonts w:eastAsiaTheme="minorEastAsia"/>
          <w:b w:val="0"/>
          <w:smallCaps w:val="0"/>
          <w:noProof/>
          <w:sz w:val="22"/>
        </w:rPr>
      </w:pPr>
      <w:hyperlink w:anchor="_Toc70679824" w:history="1">
        <w:r w:rsidRPr="00AF3D9B">
          <w:rPr>
            <w:rStyle w:val="Hyperlink"/>
            <w:noProof/>
          </w:rPr>
          <w:t xml:space="preserve">Microsoft Azure </w:t>
        </w:r>
        <w:r w:rsidRPr="00AF3D9B">
          <w:rPr>
            <w:rStyle w:val="Hyperlink"/>
            <w:rFonts w:hint="eastAsia"/>
            <w:noProof/>
          </w:rPr>
          <w:t>服务</w:t>
        </w:r>
        <w:r>
          <w:rPr>
            <w:noProof/>
            <w:webHidden/>
          </w:rPr>
          <w:tab/>
        </w:r>
        <w:r>
          <w:rPr>
            <w:noProof/>
            <w:webHidden/>
          </w:rPr>
          <w:fldChar w:fldCharType="begin"/>
        </w:r>
        <w:r>
          <w:rPr>
            <w:noProof/>
            <w:webHidden/>
          </w:rPr>
          <w:instrText xml:space="preserve"> PAGEREF _Toc70679824 \h </w:instrText>
        </w:r>
        <w:r>
          <w:rPr>
            <w:noProof/>
            <w:webHidden/>
          </w:rPr>
        </w:r>
        <w:r>
          <w:rPr>
            <w:noProof/>
            <w:webHidden/>
          </w:rPr>
          <w:fldChar w:fldCharType="separate"/>
        </w:r>
        <w:r>
          <w:rPr>
            <w:noProof/>
            <w:webHidden/>
          </w:rPr>
          <w:t>14</w:t>
        </w:r>
        <w:r>
          <w:rPr>
            <w:noProof/>
            <w:webHidden/>
          </w:rPr>
          <w:fldChar w:fldCharType="end"/>
        </w:r>
      </w:hyperlink>
    </w:p>
    <w:p w14:paraId="77EE52C1" w14:textId="6C5F51D0" w:rsidR="0096279F" w:rsidRDefault="0096279F">
      <w:pPr>
        <w:pStyle w:val="TOC4"/>
        <w:rPr>
          <w:rFonts w:eastAsiaTheme="minorEastAsia"/>
          <w:smallCaps w:val="0"/>
          <w:noProof/>
          <w:sz w:val="22"/>
        </w:rPr>
      </w:pPr>
      <w:hyperlink w:anchor="_Toc70679825" w:history="1">
        <w:r w:rsidRPr="00AF3D9B">
          <w:rPr>
            <w:rStyle w:val="Hyperlink"/>
            <w:rFonts w:hint="eastAsia"/>
            <w:noProof/>
          </w:rPr>
          <w:t>世纪互联预付费计算实例</w:t>
        </w:r>
        <w:r w:rsidRPr="00AF3D9B">
          <w:rPr>
            <w:rStyle w:val="Hyperlink"/>
            <w:noProof/>
          </w:rPr>
          <w:t>(CPP)</w:t>
        </w:r>
        <w:r>
          <w:rPr>
            <w:noProof/>
            <w:webHidden/>
          </w:rPr>
          <w:tab/>
        </w:r>
        <w:r>
          <w:rPr>
            <w:noProof/>
            <w:webHidden/>
          </w:rPr>
          <w:fldChar w:fldCharType="begin"/>
        </w:r>
        <w:r>
          <w:rPr>
            <w:noProof/>
            <w:webHidden/>
          </w:rPr>
          <w:instrText xml:space="preserve"> PAGEREF _Toc70679825 \h </w:instrText>
        </w:r>
        <w:r>
          <w:rPr>
            <w:noProof/>
            <w:webHidden/>
          </w:rPr>
        </w:r>
        <w:r>
          <w:rPr>
            <w:noProof/>
            <w:webHidden/>
          </w:rPr>
          <w:fldChar w:fldCharType="separate"/>
        </w:r>
        <w:r>
          <w:rPr>
            <w:noProof/>
            <w:webHidden/>
          </w:rPr>
          <w:t>14</w:t>
        </w:r>
        <w:r>
          <w:rPr>
            <w:noProof/>
            <w:webHidden/>
          </w:rPr>
          <w:fldChar w:fldCharType="end"/>
        </w:r>
      </w:hyperlink>
    </w:p>
    <w:p w14:paraId="0CE9A888" w14:textId="259D2C4E" w:rsidR="0096279F" w:rsidRDefault="0096279F">
      <w:pPr>
        <w:pStyle w:val="TOC4"/>
        <w:rPr>
          <w:rFonts w:eastAsiaTheme="minorEastAsia"/>
          <w:smallCaps w:val="0"/>
          <w:noProof/>
          <w:sz w:val="22"/>
        </w:rPr>
      </w:pPr>
      <w:hyperlink w:anchor="_Toc70679826" w:history="1">
        <w:r w:rsidRPr="00AF3D9B">
          <w:rPr>
            <w:rStyle w:val="Hyperlink"/>
            <w:rFonts w:cstheme="majorHAnsi"/>
            <w:noProof/>
          </w:rPr>
          <w:t>Azure SQL Edge</w:t>
        </w:r>
        <w:r>
          <w:rPr>
            <w:noProof/>
            <w:webHidden/>
          </w:rPr>
          <w:tab/>
        </w:r>
        <w:r>
          <w:rPr>
            <w:noProof/>
            <w:webHidden/>
          </w:rPr>
          <w:fldChar w:fldCharType="begin"/>
        </w:r>
        <w:r>
          <w:rPr>
            <w:noProof/>
            <w:webHidden/>
          </w:rPr>
          <w:instrText xml:space="preserve"> PAGEREF _Toc70679826 \h </w:instrText>
        </w:r>
        <w:r>
          <w:rPr>
            <w:noProof/>
            <w:webHidden/>
          </w:rPr>
        </w:r>
        <w:r>
          <w:rPr>
            <w:noProof/>
            <w:webHidden/>
          </w:rPr>
          <w:fldChar w:fldCharType="separate"/>
        </w:r>
        <w:r>
          <w:rPr>
            <w:noProof/>
            <w:webHidden/>
          </w:rPr>
          <w:t>14</w:t>
        </w:r>
        <w:r>
          <w:rPr>
            <w:noProof/>
            <w:webHidden/>
          </w:rPr>
          <w:fldChar w:fldCharType="end"/>
        </w:r>
      </w:hyperlink>
    </w:p>
    <w:p w14:paraId="7AF32AF7" w14:textId="6F6B9300" w:rsidR="0096279F" w:rsidRDefault="0096279F">
      <w:pPr>
        <w:pStyle w:val="TOC4"/>
        <w:rPr>
          <w:rFonts w:eastAsiaTheme="minorEastAsia"/>
          <w:smallCaps w:val="0"/>
          <w:noProof/>
          <w:sz w:val="22"/>
        </w:rPr>
      </w:pPr>
      <w:hyperlink w:anchor="_Toc70679827" w:history="1">
        <w:r w:rsidRPr="00AF3D9B">
          <w:rPr>
            <w:rStyle w:val="Hyperlink"/>
            <w:rFonts w:cstheme="majorHAnsi"/>
            <w:noProof/>
          </w:rPr>
          <w:t>Azure Stack HCI</w:t>
        </w:r>
        <w:r>
          <w:rPr>
            <w:noProof/>
            <w:webHidden/>
          </w:rPr>
          <w:tab/>
        </w:r>
        <w:r>
          <w:rPr>
            <w:noProof/>
            <w:webHidden/>
          </w:rPr>
          <w:fldChar w:fldCharType="begin"/>
        </w:r>
        <w:r>
          <w:rPr>
            <w:noProof/>
            <w:webHidden/>
          </w:rPr>
          <w:instrText xml:space="preserve"> PAGEREF _Toc70679827 \h </w:instrText>
        </w:r>
        <w:r>
          <w:rPr>
            <w:noProof/>
            <w:webHidden/>
          </w:rPr>
        </w:r>
        <w:r>
          <w:rPr>
            <w:noProof/>
            <w:webHidden/>
          </w:rPr>
          <w:fldChar w:fldCharType="separate"/>
        </w:r>
        <w:r>
          <w:rPr>
            <w:noProof/>
            <w:webHidden/>
          </w:rPr>
          <w:t>15</w:t>
        </w:r>
        <w:r>
          <w:rPr>
            <w:noProof/>
            <w:webHidden/>
          </w:rPr>
          <w:fldChar w:fldCharType="end"/>
        </w:r>
      </w:hyperlink>
    </w:p>
    <w:p w14:paraId="5DC44375" w14:textId="70E685D3" w:rsidR="0096279F" w:rsidRDefault="0096279F">
      <w:pPr>
        <w:pStyle w:val="TOC4"/>
        <w:rPr>
          <w:rFonts w:eastAsiaTheme="minorEastAsia"/>
          <w:smallCaps w:val="0"/>
          <w:noProof/>
          <w:sz w:val="22"/>
        </w:rPr>
      </w:pPr>
      <w:hyperlink w:anchor="_Toc70679828" w:history="1">
        <w:r w:rsidRPr="00AF3D9B">
          <w:rPr>
            <w:rStyle w:val="Hyperlink"/>
            <w:noProof/>
          </w:rPr>
          <w:t>Azure Stack Hub</w:t>
        </w:r>
        <w:r>
          <w:rPr>
            <w:noProof/>
            <w:webHidden/>
          </w:rPr>
          <w:tab/>
        </w:r>
        <w:r>
          <w:rPr>
            <w:noProof/>
            <w:webHidden/>
          </w:rPr>
          <w:fldChar w:fldCharType="begin"/>
        </w:r>
        <w:r>
          <w:rPr>
            <w:noProof/>
            <w:webHidden/>
          </w:rPr>
          <w:instrText xml:space="preserve"> PAGEREF _Toc70679828 \h </w:instrText>
        </w:r>
        <w:r>
          <w:rPr>
            <w:noProof/>
            <w:webHidden/>
          </w:rPr>
        </w:r>
        <w:r>
          <w:rPr>
            <w:noProof/>
            <w:webHidden/>
          </w:rPr>
          <w:fldChar w:fldCharType="separate"/>
        </w:r>
        <w:r>
          <w:rPr>
            <w:noProof/>
            <w:webHidden/>
          </w:rPr>
          <w:t>15</w:t>
        </w:r>
        <w:r>
          <w:rPr>
            <w:noProof/>
            <w:webHidden/>
          </w:rPr>
          <w:fldChar w:fldCharType="end"/>
        </w:r>
      </w:hyperlink>
    </w:p>
    <w:p w14:paraId="4D5CD7EA" w14:textId="3876473E" w:rsidR="0096279F" w:rsidRDefault="0096279F">
      <w:pPr>
        <w:pStyle w:val="TOC4"/>
        <w:rPr>
          <w:rFonts w:eastAsiaTheme="minorEastAsia"/>
          <w:smallCaps w:val="0"/>
          <w:noProof/>
          <w:sz w:val="22"/>
        </w:rPr>
      </w:pPr>
      <w:hyperlink w:anchor="_Toc70679829" w:history="1">
        <w:r w:rsidRPr="00AF3D9B">
          <w:rPr>
            <w:rStyle w:val="Hyperlink"/>
            <w:rFonts w:hint="eastAsia"/>
            <w:noProof/>
          </w:rPr>
          <w:t>认知服务</w:t>
        </w:r>
        <w:r>
          <w:rPr>
            <w:noProof/>
            <w:webHidden/>
          </w:rPr>
          <w:tab/>
        </w:r>
        <w:r>
          <w:rPr>
            <w:noProof/>
            <w:webHidden/>
          </w:rPr>
          <w:fldChar w:fldCharType="begin"/>
        </w:r>
        <w:r>
          <w:rPr>
            <w:noProof/>
            <w:webHidden/>
          </w:rPr>
          <w:instrText xml:space="preserve"> PAGEREF _Toc70679829 \h </w:instrText>
        </w:r>
        <w:r>
          <w:rPr>
            <w:noProof/>
            <w:webHidden/>
          </w:rPr>
        </w:r>
        <w:r>
          <w:rPr>
            <w:noProof/>
            <w:webHidden/>
          </w:rPr>
          <w:fldChar w:fldCharType="separate"/>
        </w:r>
        <w:r>
          <w:rPr>
            <w:noProof/>
            <w:webHidden/>
          </w:rPr>
          <w:t>16</w:t>
        </w:r>
        <w:r>
          <w:rPr>
            <w:noProof/>
            <w:webHidden/>
          </w:rPr>
          <w:fldChar w:fldCharType="end"/>
        </w:r>
      </w:hyperlink>
    </w:p>
    <w:p w14:paraId="7DD401DF" w14:textId="4FC41B69" w:rsidR="0096279F" w:rsidRDefault="0096279F">
      <w:pPr>
        <w:pStyle w:val="TOC2"/>
        <w:tabs>
          <w:tab w:val="right" w:leader="dot" w:pos="5030"/>
        </w:tabs>
        <w:rPr>
          <w:rFonts w:eastAsiaTheme="minorEastAsia"/>
          <w:b w:val="0"/>
          <w:smallCaps w:val="0"/>
          <w:noProof/>
          <w:sz w:val="22"/>
        </w:rPr>
      </w:pPr>
      <w:hyperlink w:anchor="_Toc70679830" w:history="1">
        <w:r w:rsidRPr="00AF3D9B">
          <w:rPr>
            <w:rStyle w:val="Hyperlink"/>
            <w:noProof/>
          </w:rPr>
          <w:t xml:space="preserve">Microsoft Azure </w:t>
        </w:r>
        <w:r w:rsidRPr="00AF3D9B">
          <w:rPr>
            <w:rStyle w:val="Hyperlink"/>
            <w:rFonts w:hint="eastAsia"/>
            <w:noProof/>
          </w:rPr>
          <w:t>计划</w:t>
        </w:r>
        <w:r>
          <w:rPr>
            <w:noProof/>
            <w:webHidden/>
          </w:rPr>
          <w:tab/>
        </w:r>
        <w:r>
          <w:rPr>
            <w:noProof/>
            <w:webHidden/>
          </w:rPr>
          <w:fldChar w:fldCharType="begin"/>
        </w:r>
        <w:r>
          <w:rPr>
            <w:noProof/>
            <w:webHidden/>
          </w:rPr>
          <w:instrText xml:space="preserve"> PAGEREF _Toc70679830 \h </w:instrText>
        </w:r>
        <w:r>
          <w:rPr>
            <w:noProof/>
            <w:webHidden/>
          </w:rPr>
        </w:r>
        <w:r>
          <w:rPr>
            <w:noProof/>
            <w:webHidden/>
          </w:rPr>
          <w:fldChar w:fldCharType="separate"/>
        </w:r>
        <w:r>
          <w:rPr>
            <w:noProof/>
            <w:webHidden/>
          </w:rPr>
          <w:t>16</w:t>
        </w:r>
        <w:r>
          <w:rPr>
            <w:noProof/>
            <w:webHidden/>
          </w:rPr>
          <w:fldChar w:fldCharType="end"/>
        </w:r>
      </w:hyperlink>
    </w:p>
    <w:p w14:paraId="4958CE5C" w14:textId="6E99DC22" w:rsidR="0096279F" w:rsidRDefault="0096279F">
      <w:pPr>
        <w:pStyle w:val="TOC4"/>
        <w:rPr>
          <w:rFonts w:eastAsiaTheme="minorEastAsia"/>
          <w:smallCaps w:val="0"/>
          <w:noProof/>
          <w:sz w:val="22"/>
        </w:rPr>
      </w:pPr>
      <w:hyperlink w:anchor="_Toc70679831" w:history="1">
        <w:r w:rsidRPr="00AF3D9B">
          <w:rPr>
            <w:rStyle w:val="Hyperlink"/>
            <w:noProof/>
          </w:rPr>
          <w:t>Azure Active Directory Basic</w:t>
        </w:r>
        <w:r>
          <w:rPr>
            <w:noProof/>
            <w:webHidden/>
          </w:rPr>
          <w:tab/>
        </w:r>
        <w:r>
          <w:rPr>
            <w:noProof/>
            <w:webHidden/>
          </w:rPr>
          <w:fldChar w:fldCharType="begin"/>
        </w:r>
        <w:r>
          <w:rPr>
            <w:noProof/>
            <w:webHidden/>
          </w:rPr>
          <w:instrText xml:space="preserve"> PAGEREF _Toc70679831 \h </w:instrText>
        </w:r>
        <w:r>
          <w:rPr>
            <w:noProof/>
            <w:webHidden/>
          </w:rPr>
        </w:r>
        <w:r>
          <w:rPr>
            <w:noProof/>
            <w:webHidden/>
          </w:rPr>
          <w:fldChar w:fldCharType="separate"/>
        </w:r>
        <w:r>
          <w:rPr>
            <w:noProof/>
            <w:webHidden/>
          </w:rPr>
          <w:t>16</w:t>
        </w:r>
        <w:r>
          <w:rPr>
            <w:noProof/>
            <w:webHidden/>
          </w:rPr>
          <w:fldChar w:fldCharType="end"/>
        </w:r>
      </w:hyperlink>
    </w:p>
    <w:p w14:paraId="6EF16D1F" w14:textId="1C126AD2" w:rsidR="0096279F" w:rsidRDefault="0096279F">
      <w:pPr>
        <w:pStyle w:val="TOC4"/>
        <w:rPr>
          <w:rFonts w:eastAsiaTheme="minorEastAsia"/>
          <w:smallCaps w:val="0"/>
          <w:noProof/>
          <w:sz w:val="22"/>
        </w:rPr>
      </w:pPr>
      <w:hyperlink w:anchor="_Toc70679832" w:history="1">
        <w:r w:rsidRPr="00AF3D9B">
          <w:rPr>
            <w:rStyle w:val="Hyperlink"/>
            <w:noProof/>
          </w:rPr>
          <w:t>Azure Active Directory Premium</w:t>
        </w:r>
        <w:r>
          <w:rPr>
            <w:noProof/>
            <w:webHidden/>
          </w:rPr>
          <w:tab/>
        </w:r>
        <w:r>
          <w:rPr>
            <w:noProof/>
            <w:webHidden/>
          </w:rPr>
          <w:fldChar w:fldCharType="begin"/>
        </w:r>
        <w:r>
          <w:rPr>
            <w:noProof/>
            <w:webHidden/>
          </w:rPr>
          <w:instrText xml:space="preserve"> PAGEREF _Toc70679832 \h </w:instrText>
        </w:r>
        <w:r>
          <w:rPr>
            <w:noProof/>
            <w:webHidden/>
          </w:rPr>
        </w:r>
        <w:r>
          <w:rPr>
            <w:noProof/>
            <w:webHidden/>
          </w:rPr>
          <w:fldChar w:fldCharType="separate"/>
        </w:r>
        <w:r>
          <w:rPr>
            <w:noProof/>
            <w:webHidden/>
          </w:rPr>
          <w:t>16</w:t>
        </w:r>
        <w:r>
          <w:rPr>
            <w:noProof/>
            <w:webHidden/>
          </w:rPr>
          <w:fldChar w:fldCharType="end"/>
        </w:r>
      </w:hyperlink>
    </w:p>
    <w:p w14:paraId="3EF425F6" w14:textId="6C1681DA" w:rsidR="0096279F" w:rsidRDefault="0096279F">
      <w:pPr>
        <w:pStyle w:val="TOC2"/>
        <w:tabs>
          <w:tab w:val="right" w:leader="dot" w:pos="5030"/>
        </w:tabs>
        <w:rPr>
          <w:rFonts w:eastAsiaTheme="minorEastAsia"/>
          <w:b w:val="0"/>
          <w:smallCaps w:val="0"/>
          <w:noProof/>
          <w:sz w:val="22"/>
        </w:rPr>
      </w:pPr>
      <w:hyperlink w:anchor="_Toc70679833" w:history="1">
        <w:r w:rsidRPr="00AF3D9B">
          <w:rPr>
            <w:rStyle w:val="Hyperlink"/>
            <w:noProof/>
          </w:rPr>
          <w:t xml:space="preserve">Microsoft Dynamics 365 </w:t>
        </w:r>
        <w:r w:rsidRPr="00AF3D9B">
          <w:rPr>
            <w:rStyle w:val="Hyperlink"/>
            <w:rFonts w:hint="eastAsia"/>
            <w:noProof/>
          </w:rPr>
          <w:t>服务</w:t>
        </w:r>
        <w:r>
          <w:rPr>
            <w:noProof/>
            <w:webHidden/>
          </w:rPr>
          <w:tab/>
        </w:r>
        <w:r>
          <w:rPr>
            <w:noProof/>
            <w:webHidden/>
          </w:rPr>
          <w:fldChar w:fldCharType="begin"/>
        </w:r>
        <w:r>
          <w:rPr>
            <w:noProof/>
            <w:webHidden/>
          </w:rPr>
          <w:instrText xml:space="preserve"> PAGEREF _Toc70679833 \h </w:instrText>
        </w:r>
        <w:r>
          <w:rPr>
            <w:noProof/>
            <w:webHidden/>
          </w:rPr>
        </w:r>
        <w:r>
          <w:rPr>
            <w:noProof/>
            <w:webHidden/>
          </w:rPr>
          <w:fldChar w:fldCharType="separate"/>
        </w:r>
        <w:r>
          <w:rPr>
            <w:noProof/>
            <w:webHidden/>
          </w:rPr>
          <w:t>17</w:t>
        </w:r>
        <w:r>
          <w:rPr>
            <w:noProof/>
            <w:webHidden/>
          </w:rPr>
          <w:fldChar w:fldCharType="end"/>
        </w:r>
      </w:hyperlink>
    </w:p>
    <w:p w14:paraId="37613731" w14:textId="64BA6137" w:rsidR="0096279F" w:rsidRDefault="0096279F">
      <w:pPr>
        <w:pStyle w:val="TOC2"/>
        <w:tabs>
          <w:tab w:val="right" w:leader="dot" w:pos="5030"/>
        </w:tabs>
        <w:rPr>
          <w:rFonts w:eastAsiaTheme="minorEastAsia"/>
          <w:b w:val="0"/>
          <w:smallCaps w:val="0"/>
          <w:noProof/>
          <w:sz w:val="22"/>
        </w:rPr>
      </w:pPr>
      <w:hyperlink w:anchor="_Toc70679834" w:history="1">
        <w:r w:rsidRPr="00AF3D9B">
          <w:rPr>
            <w:rStyle w:val="Hyperlink"/>
            <w:noProof/>
          </w:rPr>
          <w:t xml:space="preserve">Office 365 </w:t>
        </w:r>
        <w:r w:rsidRPr="00AF3D9B">
          <w:rPr>
            <w:rStyle w:val="Hyperlink"/>
            <w:rFonts w:hint="eastAsia"/>
            <w:noProof/>
          </w:rPr>
          <w:t>服务</w:t>
        </w:r>
        <w:r>
          <w:rPr>
            <w:noProof/>
            <w:webHidden/>
          </w:rPr>
          <w:tab/>
        </w:r>
        <w:r>
          <w:rPr>
            <w:noProof/>
            <w:webHidden/>
          </w:rPr>
          <w:fldChar w:fldCharType="begin"/>
        </w:r>
        <w:r>
          <w:rPr>
            <w:noProof/>
            <w:webHidden/>
          </w:rPr>
          <w:instrText xml:space="preserve"> PAGEREF _Toc70679834 \h </w:instrText>
        </w:r>
        <w:r>
          <w:rPr>
            <w:noProof/>
            <w:webHidden/>
          </w:rPr>
        </w:r>
        <w:r>
          <w:rPr>
            <w:noProof/>
            <w:webHidden/>
          </w:rPr>
          <w:fldChar w:fldCharType="separate"/>
        </w:r>
        <w:r>
          <w:rPr>
            <w:noProof/>
            <w:webHidden/>
          </w:rPr>
          <w:t>18</w:t>
        </w:r>
        <w:r>
          <w:rPr>
            <w:noProof/>
            <w:webHidden/>
          </w:rPr>
          <w:fldChar w:fldCharType="end"/>
        </w:r>
      </w:hyperlink>
    </w:p>
    <w:p w14:paraId="278F3110" w14:textId="03B245F8" w:rsidR="0096279F" w:rsidRDefault="0096279F">
      <w:pPr>
        <w:pStyle w:val="TOC4"/>
        <w:rPr>
          <w:rFonts w:eastAsiaTheme="minorEastAsia"/>
          <w:smallCaps w:val="0"/>
          <w:noProof/>
          <w:sz w:val="22"/>
        </w:rPr>
      </w:pPr>
      <w:hyperlink w:anchor="_Toc70679835" w:history="1">
        <w:r w:rsidRPr="00AF3D9B">
          <w:rPr>
            <w:rStyle w:val="Hyperlink"/>
            <w:noProof/>
          </w:rPr>
          <w:t>Exchange Online</w:t>
        </w:r>
        <w:r>
          <w:rPr>
            <w:noProof/>
            <w:webHidden/>
          </w:rPr>
          <w:tab/>
        </w:r>
        <w:r>
          <w:rPr>
            <w:noProof/>
            <w:webHidden/>
          </w:rPr>
          <w:fldChar w:fldCharType="begin"/>
        </w:r>
        <w:r>
          <w:rPr>
            <w:noProof/>
            <w:webHidden/>
          </w:rPr>
          <w:instrText xml:space="preserve"> PAGEREF _Toc70679835 \h </w:instrText>
        </w:r>
        <w:r>
          <w:rPr>
            <w:noProof/>
            <w:webHidden/>
          </w:rPr>
        </w:r>
        <w:r>
          <w:rPr>
            <w:noProof/>
            <w:webHidden/>
          </w:rPr>
          <w:fldChar w:fldCharType="separate"/>
        </w:r>
        <w:r>
          <w:rPr>
            <w:noProof/>
            <w:webHidden/>
          </w:rPr>
          <w:t>18</w:t>
        </w:r>
        <w:r>
          <w:rPr>
            <w:noProof/>
            <w:webHidden/>
          </w:rPr>
          <w:fldChar w:fldCharType="end"/>
        </w:r>
      </w:hyperlink>
    </w:p>
    <w:p w14:paraId="3B59F99F" w14:textId="3BF2885D" w:rsidR="0096279F" w:rsidRDefault="0096279F">
      <w:pPr>
        <w:pStyle w:val="TOC4"/>
        <w:rPr>
          <w:rFonts w:eastAsiaTheme="minorEastAsia"/>
          <w:smallCaps w:val="0"/>
          <w:noProof/>
          <w:sz w:val="22"/>
        </w:rPr>
      </w:pPr>
      <w:hyperlink w:anchor="_Toc70679836" w:history="1">
        <w:r w:rsidRPr="00AF3D9B">
          <w:rPr>
            <w:rStyle w:val="Hyperlink"/>
            <w:noProof/>
          </w:rPr>
          <w:t xml:space="preserve">Microsoft 365 </w:t>
        </w:r>
        <w:r w:rsidRPr="00AF3D9B">
          <w:rPr>
            <w:rStyle w:val="Hyperlink"/>
            <w:rFonts w:hint="eastAsia"/>
            <w:noProof/>
          </w:rPr>
          <w:t>应用程序</w:t>
        </w:r>
        <w:r>
          <w:rPr>
            <w:noProof/>
            <w:webHidden/>
          </w:rPr>
          <w:tab/>
        </w:r>
        <w:r>
          <w:rPr>
            <w:noProof/>
            <w:webHidden/>
          </w:rPr>
          <w:fldChar w:fldCharType="begin"/>
        </w:r>
        <w:r>
          <w:rPr>
            <w:noProof/>
            <w:webHidden/>
          </w:rPr>
          <w:instrText xml:space="preserve"> PAGEREF _Toc70679836 \h </w:instrText>
        </w:r>
        <w:r>
          <w:rPr>
            <w:noProof/>
            <w:webHidden/>
          </w:rPr>
        </w:r>
        <w:r>
          <w:rPr>
            <w:noProof/>
            <w:webHidden/>
          </w:rPr>
          <w:fldChar w:fldCharType="separate"/>
        </w:r>
        <w:r>
          <w:rPr>
            <w:noProof/>
            <w:webHidden/>
          </w:rPr>
          <w:t>19</w:t>
        </w:r>
        <w:r>
          <w:rPr>
            <w:noProof/>
            <w:webHidden/>
          </w:rPr>
          <w:fldChar w:fldCharType="end"/>
        </w:r>
      </w:hyperlink>
    </w:p>
    <w:p w14:paraId="05CA1531" w14:textId="1B696EE7" w:rsidR="0096279F" w:rsidRDefault="0096279F">
      <w:pPr>
        <w:pStyle w:val="TOC4"/>
        <w:rPr>
          <w:rFonts w:eastAsiaTheme="minorEastAsia"/>
          <w:smallCaps w:val="0"/>
          <w:noProof/>
          <w:sz w:val="22"/>
        </w:rPr>
      </w:pPr>
      <w:hyperlink w:anchor="_Toc70679837" w:history="1">
        <w:r w:rsidRPr="00AF3D9B">
          <w:rPr>
            <w:rStyle w:val="Hyperlink"/>
            <w:noProof/>
          </w:rPr>
          <w:t>Office for the web</w:t>
        </w:r>
        <w:r>
          <w:rPr>
            <w:noProof/>
            <w:webHidden/>
          </w:rPr>
          <w:tab/>
        </w:r>
        <w:r>
          <w:rPr>
            <w:noProof/>
            <w:webHidden/>
          </w:rPr>
          <w:fldChar w:fldCharType="begin"/>
        </w:r>
        <w:r>
          <w:rPr>
            <w:noProof/>
            <w:webHidden/>
          </w:rPr>
          <w:instrText xml:space="preserve"> PAGEREF _Toc70679837 \h </w:instrText>
        </w:r>
        <w:r>
          <w:rPr>
            <w:noProof/>
            <w:webHidden/>
          </w:rPr>
        </w:r>
        <w:r>
          <w:rPr>
            <w:noProof/>
            <w:webHidden/>
          </w:rPr>
          <w:fldChar w:fldCharType="separate"/>
        </w:r>
        <w:r>
          <w:rPr>
            <w:noProof/>
            <w:webHidden/>
          </w:rPr>
          <w:t>20</w:t>
        </w:r>
        <w:r>
          <w:rPr>
            <w:noProof/>
            <w:webHidden/>
          </w:rPr>
          <w:fldChar w:fldCharType="end"/>
        </w:r>
      </w:hyperlink>
    </w:p>
    <w:p w14:paraId="349BB6C4" w14:textId="6EEEE229" w:rsidR="0096279F" w:rsidRDefault="0096279F">
      <w:pPr>
        <w:pStyle w:val="TOC4"/>
        <w:rPr>
          <w:rFonts w:eastAsiaTheme="minorEastAsia"/>
          <w:smallCaps w:val="0"/>
          <w:noProof/>
          <w:sz w:val="22"/>
        </w:rPr>
      </w:pPr>
      <w:hyperlink w:anchor="_Toc70679838" w:history="1">
        <w:r w:rsidRPr="00AF3D9B">
          <w:rPr>
            <w:rStyle w:val="Hyperlink"/>
            <w:noProof/>
          </w:rPr>
          <w:t>OneDrive for Business</w:t>
        </w:r>
        <w:r>
          <w:rPr>
            <w:noProof/>
            <w:webHidden/>
          </w:rPr>
          <w:tab/>
        </w:r>
        <w:r>
          <w:rPr>
            <w:noProof/>
            <w:webHidden/>
          </w:rPr>
          <w:fldChar w:fldCharType="begin"/>
        </w:r>
        <w:r>
          <w:rPr>
            <w:noProof/>
            <w:webHidden/>
          </w:rPr>
          <w:instrText xml:space="preserve"> PAGEREF _Toc70679838 \h </w:instrText>
        </w:r>
        <w:r>
          <w:rPr>
            <w:noProof/>
            <w:webHidden/>
          </w:rPr>
        </w:r>
        <w:r>
          <w:rPr>
            <w:noProof/>
            <w:webHidden/>
          </w:rPr>
          <w:fldChar w:fldCharType="separate"/>
        </w:r>
        <w:r>
          <w:rPr>
            <w:noProof/>
            <w:webHidden/>
          </w:rPr>
          <w:t>20</w:t>
        </w:r>
        <w:r>
          <w:rPr>
            <w:noProof/>
            <w:webHidden/>
          </w:rPr>
          <w:fldChar w:fldCharType="end"/>
        </w:r>
      </w:hyperlink>
    </w:p>
    <w:p w14:paraId="54BF5F5C" w14:textId="2707BE2A" w:rsidR="0096279F" w:rsidRDefault="0096279F">
      <w:pPr>
        <w:pStyle w:val="TOC4"/>
        <w:rPr>
          <w:rFonts w:eastAsiaTheme="minorEastAsia"/>
          <w:smallCaps w:val="0"/>
          <w:noProof/>
          <w:sz w:val="22"/>
        </w:rPr>
      </w:pPr>
      <w:hyperlink w:anchor="_Toc70679839" w:history="1">
        <w:r w:rsidRPr="00AF3D9B">
          <w:rPr>
            <w:rStyle w:val="Hyperlink"/>
            <w:noProof/>
          </w:rPr>
          <w:t>Project Online</w:t>
        </w:r>
        <w:r>
          <w:rPr>
            <w:noProof/>
            <w:webHidden/>
          </w:rPr>
          <w:tab/>
        </w:r>
        <w:r>
          <w:rPr>
            <w:noProof/>
            <w:webHidden/>
          </w:rPr>
          <w:fldChar w:fldCharType="begin"/>
        </w:r>
        <w:r>
          <w:rPr>
            <w:noProof/>
            <w:webHidden/>
          </w:rPr>
          <w:instrText xml:space="preserve"> PAGEREF _Toc70679839 \h </w:instrText>
        </w:r>
        <w:r>
          <w:rPr>
            <w:noProof/>
            <w:webHidden/>
          </w:rPr>
        </w:r>
        <w:r>
          <w:rPr>
            <w:noProof/>
            <w:webHidden/>
          </w:rPr>
          <w:fldChar w:fldCharType="separate"/>
        </w:r>
        <w:r>
          <w:rPr>
            <w:noProof/>
            <w:webHidden/>
          </w:rPr>
          <w:t>20</w:t>
        </w:r>
        <w:r>
          <w:rPr>
            <w:noProof/>
            <w:webHidden/>
          </w:rPr>
          <w:fldChar w:fldCharType="end"/>
        </w:r>
      </w:hyperlink>
    </w:p>
    <w:p w14:paraId="4CBA2450" w14:textId="2C7BD5CF" w:rsidR="0096279F" w:rsidRDefault="0096279F">
      <w:pPr>
        <w:pStyle w:val="TOC4"/>
        <w:rPr>
          <w:rFonts w:eastAsiaTheme="minorEastAsia"/>
          <w:smallCaps w:val="0"/>
          <w:noProof/>
          <w:sz w:val="22"/>
        </w:rPr>
      </w:pPr>
      <w:hyperlink w:anchor="_Toc70679840" w:history="1">
        <w:r w:rsidRPr="00AF3D9B">
          <w:rPr>
            <w:rStyle w:val="Hyperlink"/>
            <w:noProof/>
          </w:rPr>
          <w:t>SharePoint Online</w:t>
        </w:r>
        <w:r>
          <w:rPr>
            <w:noProof/>
            <w:webHidden/>
          </w:rPr>
          <w:tab/>
        </w:r>
        <w:r>
          <w:rPr>
            <w:noProof/>
            <w:webHidden/>
          </w:rPr>
          <w:fldChar w:fldCharType="begin"/>
        </w:r>
        <w:r>
          <w:rPr>
            <w:noProof/>
            <w:webHidden/>
          </w:rPr>
          <w:instrText xml:space="preserve"> PAGEREF _Toc70679840 \h </w:instrText>
        </w:r>
        <w:r>
          <w:rPr>
            <w:noProof/>
            <w:webHidden/>
          </w:rPr>
        </w:r>
        <w:r>
          <w:rPr>
            <w:noProof/>
            <w:webHidden/>
          </w:rPr>
          <w:fldChar w:fldCharType="separate"/>
        </w:r>
        <w:r>
          <w:rPr>
            <w:noProof/>
            <w:webHidden/>
          </w:rPr>
          <w:t>20</w:t>
        </w:r>
        <w:r>
          <w:rPr>
            <w:noProof/>
            <w:webHidden/>
          </w:rPr>
          <w:fldChar w:fldCharType="end"/>
        </w:r>
      </w:hyperlink>
    </w:p>
    <w:p w14:paraId="1C0FED60" w14:textId="73571188" w:rsidR="0096279F" w:rsidRDefault="0096279F">
      <w:pPr>
        <w:pStyle w:val="TOC4"/>
        <w:rPr>
          <w:rFonts w:eastAsiaTheme="minorEastAsia"/>
          <w:smallCaps w:val="0"/>
          <w:noProof/>
          <w:sz w:val="22"/>
        </w:rPr>
      </w:pPr>
      <w:hyperlink w:anchor="_Toc70679841" w:history="1">
        <w:r w:rsidRPr="00AF3D9B">
          <w:rPr>
            <w:rStyle w:val="Hyperlink"/>
            <w:noProof/>
          </w:rPr>
          <w:t>Skype for Business Online</w:t>
        </w:r>
        <w:r>
          <w:rPr>
            <w:noProof/>
            <w:webHidden/>
          </w:rPr>
          <w:tab/>
        </w:r>
        <w:r>
          <w:rPr>
            <w:noProof/>
            <w:webHidden/>
          </w:rPr>
          <w:fldChar w:fldCharType="begin"/>
        </w:r>
        <w:r>
          <w:rPr>
            <w:noProof/>
            <w:webHidden/>
          </w:rPr>
          <w:instrText xml:space="preserve"> PAGEREF _Toc70679841 \h </w:instrText>
        </w:r>
        <w:r>
          <w:rPr>
            <w:noProof/>
            <w:webHidden/>
          </w:rPr>
        </w:r>
        <w:r>
          <w:rPr>
            <w:noProof/>
            <w:webHidden/>
          </w:rPr>
          <w:fldChar w:fldCharType="separate"/>
        </w:r>
        <w:r>
          <w:rPr>
            <w:noProof/>
            <w:webHidden/>
          </w:rPr>
          <w:t>21</w:t>
        </w:r>
        <w:r>
          <w:rPr>
            <w:noProof/>
            <w:webHidden/>
          </w:rPr>
          <w:fldChar w:fldCharType="end"/>
        </w:r>
      </w:hyperlink>
    </w:p>
    <w:p w14:paraId="2A124D53" w14:textId="67BD515F" w:rsidR="0096279F" w:rsidRDefault="0096279F">
      <w:pPr>
        <w:pStyle w:val="TOC2"/>
        <w:tabs>
          <w:tab w:val="right" w:leader="dot" w:pos="5030"/>
        </w:tabs>
        <w:rPr>
          <w:rFonts w:eastAsiaTheme="minorEastAsia"/>
          <w:b w:val="0"/>
          <w:smallCaps w:val="0"/>
          <w:noProof/>
          <w:sz w:val="22"/>
        </w:rPr>
      </w:pPr>
      <w:hyperlink w:anchor="_Toc70679842" w:history="1">
        <w:r w:rsidRPr="00AF3D9B">
          <w:rPr>
            <w:rStyle w:val="Hyperlink"/>
            <w:rFonts w:hint="eastAsia"/>
            <w:noProof/>
          </w:rPr>
          <w:t>其他在线服务</w:t>
        </w:r>
        <w:r>
          <w:rPr>
            <w:noProof/>
            <w:webHidden/>
          </w:rPr>
          <w:tab/>
        </w:r>
        <w:r>
          <w:rPr>
            <w:noProof/>
            <w:webHidden/>
          </w:rPr>
          <w:fldChar w:fldCharType="begin"/>
        </w:r>
        <w:r>
          <w:rPr>
            <w:noProof/>
            <w:webHidden/>
          </w:rPr>
          <w:instrText xml:space="preserve"> PAGEREF _Toc70679842 \h </w:instrText>
        </w:r>
        <w:r>
          <w:rPr>
            <w:noProof/>
            <w:webHidden/>
          </w:rPr>
        </w:r>
        <w:r>
          <w:rPr>
            <w:noProof/>
            <w:webHidden/>
          </w:rPr>
          <w:fldChar w:fldCharType="separate"/>
        </w:r>
        <w:r>
          <w:rPr>
            <w:noProof/>
            <w:webHidden/>
          </w:rPr>
          <w:t>21</w:t>
        </w:r>
        <w:r>
          <w:rPr>
            <w:noProof/>
            <w:webHidden/>
          </w:rPr>
          <w:fldChar w:fldCharType="end"/>
        </w:r>
      </w:hyperlink>
    </w:p>
    <w:p w14:paraId="1B2D2DA4" w14:textId="63DCCF83" w:rsidR="0096279F" w:rsidRDefault="0096279F">
      <w:pPr>
        <w:pStyle w:val="TOC4"/>
        <w:rPr>
          <w:rFonts w:eastAsiaTheme="minorEastAsia"/>
          <w:smallCaps w:val="0"/>
          <w:noProof/>
          <w:sz w:val="22"/>
        </w:rPr>
      </w:pPr>
      <w:hyperlink w:anchor="_Toc70679843" w:history="1">
        <w:r w:rsidRPr="00AF3D9B">
          <w:rPr>
            <w:rStyle w:val="Hyperlink"/>
            <w:noProof/>
          </w:rPr>
          <w:t>Microsoft Power Platform</w:t>
        </w:r>
        <w:r>
          <w:rPr>
            <w:noProof/>
            <w:webHidden/>
          </w:rPr>
          <w:tab/>
        </w:r>
        <w:r>
          <w:rPr>
            <w:noProof/>
            <w:webHidden/>
          </w:rPr>
          <w:fldChar w:fldCharType="begin"/>
        </w:r>
        <w:r>
          <w:rPr>
            <w:noProof/>
            <w:webHidden/>
          </w:rPr>
          <w:instrText xml:space="preserve"> PAGEREF _Toc70679843 \h </w:instrText>
        </w:r>
        <w:r>
          <w:rPr>
            <w:noProof/>
            <w:webHidden/>
          </w:rPr>
        </w:r>
        <w:r>
          <w:rPr>
            <w:noProof/>
            <w:webHidden/>
          </w:rPr>
          <w:fldChar w:fldCharType="separate"/>
        </w:r>
        <w:r>
          <w:rPr>
            <w:noProof/>
            <w:webHidden/>
          </w:rPr>
          <w:t>21</w:t>
        </w:r>
        <w:r>
          <w:rPr>
            <w:noProof/>
            <w:webHidden/>
          </w:rPr>
          <w:fldChar w:fldCharType="end"/>
        </w:r>
      </w:hyperlink>
    </w:p>
    <w:p w14:paraId="2F3CA0CE" w14:textId="1C32C7E5" w:rsidR="0096279F" w:rsidRDefault="0096279F">
      <w:pPr>
        <w:pStyle w:val="TOC4"/>
        <w:rPr>
          <w:rFonts w:eastAsiaTheme="minorEastAsia"/>
          <w:smallCaps w:val="0"/>
          <w:noProof/>
          <w:sz w:val="22"/>
        </w:rPr>
      </w:pPr>
      <w:hyperlink w:anchor="_Toc70679844" w:history="1">
        <w:r w:rsidRPr="00AF3D9B">
          <w:rPr>
            <w:rStyle w:val="Hyperlink"/>
            <w:noProof/>
            <w:lang w:val="pt-BR"/>
          </w:rPr>
          <w:t>Microsoft Intune</w:t>
        </w:r>
        <w:r>
          <w:rPr>
            <w:noProof/>
            <w:webHidden/>
          </w:rPr>
          <w:tab/>
        </w:r>
        <w:r>
          <w:rPr>
            <w:noProof/>
            <w:webHidden/>
          </w:rPr>
          <w:fldChar w:fldCharType="begin"/>
        </w:r>
        <w:r>
          <w:rPr>
            <w:noProof/>
            <w:webHidden/>
          </w:rPr>
          <w:instrText xml:space="preserve"> PAGEREF _Toc70679844 \h </w:instrText>
        </w:r>
        <w:r>
          <w:rPr>
            <w:noProof/>
            <w:webHidden/>
          </w:rPr>
        </w:r>
        <w:r>
          <w:rPr>
            <w:noProof/>
            <w:webHidden/>
          </w:rPr>
          <w:fldChar w:fldCharType="separate"/>
        </w:r>
        <w:r>
          <w:rPr>
            <w:noProof/>
            <w:webHidden/>
          </w:rPr>
          <w:t>22</w:t>
        </w:r>
        <w:r>
          <w:rPr>
            <w:noProof/>
            <w:webHidden/>
          </w:rPr>
          <w:fldChar w:fldCharType="end"/>
        </w:r>
      </w:hyperlink>
    </w:p>
    <w:p w14:paraId="43F1C977" w14:textId="0107F715" w:rsidR="0096279F" w:rsidRDefault="0096279F">
      <w:pPr>
        <w:pStyle w:val="TOC1"/>
        <w:tabs>
          <w:tab w:val="right" w:leader="dot" w:pos="5030"/>
        </w:tabs>
        <w:rPr>
          <w:rFonts w:eastAsiaTheme="minorEastAsia"/>
          <w:b w:val="0"/>
          <w:caps w:val="0"/>
          <w:noProof/>
          <w:sz w:val="22"/>
        </w:rPr>
      </w:pPr>
      <w:hyperlink w:anchor="_Toc70679845" w:history="1">
        <w:r w:rsidRPr="00AF3D9B">
          <w:rPr>
            <w:rStyle w:val="Hyperlink"/>
            <w:rFonts w:hint="eastAsia"/>
            <w:noProof/>
          </w:rPr>
          <w:t>世纪互联在线服务产品提供情况</w:t>
        </w:r>
        <w:r w:rsidRPr="00AF3D9B">
          <w:rPr>
            <w:rStyle w:val="Hyperlink"/>
            <w:noProof/>
          </w:rPr>
          <w:t xml:space="preserve"> (</w:t>
        </w:r>
        <w:r w:rsidRPr="00AF3D9B">
          <w:rPr>
            <w:rStyle w:val="Hyperlink"/>
            <w:rFonts w:hint="eastAsia"/>
            <w:noProof/>
          </w:rPr>
          <w:t>仅适用于</w:t>
        </w:r>
        <w:r w:rsidRPr="00AF3D9B">
          <w:rPr>
            <w:rStyle w:val="Hyperlink"/>
            <w:noProof/>
          </w:rPr>
          <w:t>OSPA)</w:t>
        </w:r>
        <w:r>
          <w:rPr>
            <w:noProof/>
            <w:webHidden/>
          </w:rPr>
          <w:tab/>
        </w:r>
        <w:r>
          <w:rPr>
            <w:noProof/>
            <w:webHidden/>
          </w:rPr>
          <w:fldChar w:fldCharType="begin"/>
        </w:r>
        <w:r>
          <w:rPr>
            <w:noProof/>
            <w:webHidden/>
          </w:rPr>
          <w:instrText xml:space="preserve"> PAGEREF _Toc70679845 \h </w:instrText>
        </w:r>
        <w:r>
          <w:rPr>
            <w:noProof/>
            <w:webHidden/>
          </w:rPr>
        </w:r>
        <w:r>
          <w:rPr>
            <w:noProof/>
            <w:webHidden/>
          </w:rPr>
          <w:fldChar w:fldCharType="separate"/>
        </w:r>
        <w:r>
          <w:rPr>
            <w:noProof/>
            <w:webHidden/>
          </w:rPr>
          <w:t>23</w:t>
        </w:r>
        <w:r>
          <w:rPr>
            <w:noProof/>
            <w:webHidden/>
          </w:rPr>
          <w:fldChar w:fldCharType="end"/>
        </w:r>
      </w:hyperlink>
    </w:p>
    <w:p w14:paraId="2DCAB0C6" w14:textId="571F178F" w:rsidR="0096279F" w:rsidRDefault="0096279F">
      <w:pPr>
        <w:pStyle w:val="TOC5"/>
        <w:rPr>
          <w:rFonts w:eastAsiaTheme="minorEastAsia"/>
          <w:noProof/>
          <w:sz w:val="22"/>
        </w:rPr>
      </w:pPr>
      <w:hyperlink w:anchor="_Toc70679846" w:history="1">
        <w:r w:rsidRPr="00AF3D9B">
          <w:rPr>
            <w:rStyle w:val="Hyperlink"/>
            <w:noProof/>
          </w:rPr>
          <w:t>Microsoft Azure</w:t>
        </w:r>
        <w:r>
          <w:rPr>
            <w:noProof/>
            <w:webHidden/>
          </w:rPr>
          <w:tab/>
        </w:r>
        <w:r>
          <w:rPr>
            <w:noProof/>
            <w:webHidden/>
          </w:rPr>
          <w:fldChar w:fldCharType="begin"/>
        </w:r>
        <w:r>
          <w:rPr>
            <w:noProof/>
            <w:webHidden/>
          </w:rPr>
          <w:instrText xml:space="preserve"> PAGEREF _Toc70679846 \h </w:instrText>
        </w:r>
        <w:r>
          <w:rPr>
            <w:noProof/>
            <w:webHidden/>
          </w:rPr>
        </w:r>
        <w:r>
          <w:rPr>
            <w:noProof/>
            <w:webHidden/>
          </w:rPr>
          <w:fldChar w:fldCharType="separate"/>
        </w:r>
        <w:r>
          <w:rPr>
            <w:noProof/>
            <w:webHidden/>
          </w:rPr>
          <w:t>23</w:t>
        </w:r>
        <w:r>
          <w:rPr>
            <w:noProof/>
            <w:webHidden/>
          </w:rPr>
          <w:fldChar w:fldCharType="end"/>
        </w:r>
      </w:hyperlink>
    </w:p>
    <w:p w14:paraId="53EC6DE6" w14:textId="7DA4380A" w:rsidR="0096279F" w:rsidRDefault="0096279F">
      <w:pPr>
        <w:pStyle w:val="TOC5"/>
        <w:rPr>
          <w:rFonts w:eastAsiaTheme="minorEastAsia"/>
          <w:noProof/>
          <w:sz w:val="22"/>
        </w:rPr>
      </w:pPr>
      <w:hyperlink w:anchor="_Toc70679847" w:history="1">
        <w:r w:rsidRPr="00AF3D9B">
          <w:rPr>
            <w:rStyle w:val="Hyperlink"/>
            <w:noProof/>
          </w:rPr>
          <w:t>Microsoft Dynamics 365</w:t>
        </w:r>
        <w:r>
          <w:rPr>
            <w:noProof/>
            <w:webHidden/>
          </w:rPr>
          <w:tab/>
        </w:r>
        <w:r>
          <w:rPr>
            <w:noProof/>
            <w:webHidden/>
          </w:rPr>
          <w:fldChar w:fldCharType="begin"/>
        </w:r>
        <w:r>
          <w:rPr>
            <w:noProof/>
            <w:webHidden/>
          </w:rPr>
          <w:instrText xml:space="preserve"> PAGEREF _Toc70679847 \h </w:instrText>
        </w:r>
        <w:r>
          <w:rPr>
            <w:noProof/>
            <w:webHidden/>
          </w:rPr>
        </w:r>
        <w:r>
          <w:rPr>
            <w:noProof/>
            <w:webHidden/>
          </w:rPr>
          <w:fldChar w:fldCharType="separate"/>
        </w:r>
        <w:r>
          <w:rPr>
            <w:noProof/>
            <w:webHidden/>
          </w:rPr>
          <w:t>23</w:t>
        </w:r>
        <w:r>
          <w:rPr>
            <w:noProof/>
            <w:webHidden/>
          </w:rPr>
          <w:fldChar w:fldCharType="end"/>
        </w:r>
      </w:hyperlink>
    </w:p>
    <w:p w14:paraId="304105D2" w14:textId="27A910D2" w:rsidR="0096279F" w:rsidRDefault="0096279F">
      <w:pPr>
        <w:pStyle w:val="TOC5"/>
        <w:rPr>
          <w:rFonts w:eastAsiaTheme="minorEastAsia"/>
          <w:noProof/>
          <w:sz w:val="22"/>
        </w:rPr>
      </w:pPr>
      <w:hyperlink w:anchor="_Toc70679848" w:history="1">
        <w:r w:rsidRPr="00AF3D9B">
          <w:rPr>
            <w:rStyle w:val="Hyperlink"/>
            <w:noProof/>
          </w:rPr>
          <w:t>Office 365</w:t>
        </w:r>
        <w:r>
          <w:rPr>
            <w:noProof/>
            <w:webHidden/>
          </w:rPr>
          <w:tab/>
        </w:r>
        <w:r>
          <w:rPr>
            <w:noProof/>
            <w:webHidden/>
          </w:rPr>
          <w:fldChar w:fldCharType="begin"/>
        </w:r>
        <w:r>
          <w:rPr>
            <w:noProof/>
            <w:webHidden/>
          </w:rPr>
          <w:instrText xml:space="preserve"> PAGEREF _Toc70679848 \h </w:instrText>
        </w:r>
        <w:r>
          <w:rPr>
            <w:noProof/>
            <w:webHidden/>
          </w:rPr>
        </w:r>
        <w:r>
          <w:rPr>
            <w:noProof/>
            <w:webHidden/>
          </w:rPr>
          <w:fldChar w:fldCharType="separate"/>
        </w:r>
        <w:r>
          <w:rPr>
            <w:noProof/>
            <w:webHidden/>
          </w:rPr>
          <w:t>24</w:t>
        </w:r>
        <w:r>
          <w:rPr>
            <w:noProof/>
            <w:webHidden/>
          </w:rPr>
          <w:fldChar w:fldCharType="end"/>
        </w:r>
      </w:hyperlink>
    </w:p>
    <w:p w14:paraId="49890708" w14:textId="3B8D40A8" w:rsidR="0096279F" w:rsidRDefault="0096279F">
      <w:pPr>
        <w:pStyle w:val="TOC5"/>
        <w:rPr>
          <w:rFonts w:eastAsiaTheme="minorEastAsia"/>
          <w:noProof/>
          <w:sz w:val="22"/>
        </w:rPr>
      </w:pPr>
      <w:hyperlink w:anchor="_Toc70679849" w:history="1">
        <w:r w:rsidRPr="00AF3D9B">
          <w:rPr>
            <w:rStyle w:val="Hyperlink"/>
            <w:noProof/>
          </w:rPr>
          <w:t>Office 365</w:t>
        </w:r>
        <w:r w:rsidRPr="00AF3D9B">
          <w:rPr>
            <w:rStyle w:val="Hyperlink"/>
            <w:rFonts w:hint="eastAsia"/>
            <w:noProof/>
          </w:rPr>
          <w:t>教育在线服务</w:t>
        </w:r>
        <w:r>
          <w:rPr>
            <w:noProof/>
            <w:webHidden/>
          </w:rPr>
          <w:tab/>
        </w:r>
        <w:r>
          <w:rPr>
            <w:noProof/>
            <w:webHidden/>
          </w:rPr>
          <w:fldChar w:fldCharType="begin"/>
        </w:r>
        <w:r>
          <w:rPr>
            <w:noProof/>
            <w:webHidden/>
          </w:rPr>
          <w:instrText xml:space="preserve"> PAGEREF _Toc70679849 \h </w:instrText>
        </w:r>
        <w:r>
          <w:rPr>
            <w:noProof/>
            <w:webHidden/>
          </w:rPr>
        </w:r>
        <w:r>
          <w:rPr>
            <w:noProof/>
            <w:webHidden/>
          </w:rPr>
          <w:fldChar w:fldCharType="separate"/>
        </w:r>
        <w:r>
          <w:rPr>
            <w:noProof/>
            <w:webHidden/>
          </w:rPr>
          <w:t>26</w:t>
        </w:r>
        <w:r>
          <w:rPr>
            <w:noProof/>
            <w:webHidden/>
          </w:rPr>
          <w:fldChar w:fldCharType="end"/>
        </w:r>
      </w:hyperlink>
    </w:p>
    <w:p w14:paraId="28DF8B29" w14:textId="4B39BE60" w:rsidR="0096279F" w:rsidRDefault="0096279F">
      <w:pPr>
        <w:pStyle w:val="TOC5"/>
        <w:rPr>
          <w:rFonts w:eastAsiaTheme="minorEastAsia"/>
          <w:noProof/>
          <w:sz w:val="22"/>
        </w:rPr>
      </w:pPr>
      <w:hyperlink w:anchor="_Toc70679850" w:history="1">
        <w:r w:rsidRPr="00AF3D9B">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_Toc70679850 \h </w:instrText>
        </w:r>
        <w:r>
          <w:rPr>
            <w:noProof/>
            <w:webHidden/>
          </w:rPr>
        </w:r>
        <w:r>
          <w:rPr>
            <w:noProof/>
            <w:webHidden/>
          </w:rPr>
          <w:fldChar w:fldCharType="separate"/>
        </w:r>
        <w:r>
          <w:rPr>
            <w:noProof/>
            <w:webHidden/>
          </w:rPr>
          <w:t>27</w:t>
        </w:r>
        <w:r>
          <w:rPr>
            <w:noProof/>
            <w:webHidden/>
          </w:rPr>
          <w:fldChar w:fldCharType="end"/>
        </w:r>
      </w:hyperlink>
    </w:p>
    <w:p w14:paraId="22EA61CA" w14:textId="214B8D1C" w:rsidR="0096279F" w:rsidRDefault="0096279F">
      <w:pPr>
        <w:pStyle w:val="TOC1"/>
        <w:tabs>
          <w:tab w:val="right" w:leader="dot" w:pos="5030"/>
        </w:tabs>
        <w:rPr>
          <w:rFonts w:eastAsiaTheme="minorEastAsia"/>
          <w:b w:val="0"/>
          <w:caps w:val="0"/>
          <w:noProof/>
          <w:sz w:val="22"/>
        </w:rPr>
      </w:pPr>
      <w:hyperlink w:anchor="_Toc70679851" w:history="1">
        <w:r w:rsidRPr="00AF3D9B">
          <w:rPr>
            <w:rStyle w:val="Hyperlink"/>
            <w:rFonts w:hint="eastAsia"/>
            <w:noProof/>
          </w:rPr>
          <w:t>附件</w:t>
        </w:r>
        <w:r w:rsidRPr="00AF3D9B">
          <w:rPr>
            <w:rStyle w:val="Hyperlink"/>
            <w:noProof/>
          </w:rPr>
          <w:t xml:space="preserve"> 1</w:t>
        </w:r>
        <w:r w:rsidRPr="00AF3D9B">
          <w:rPr>
            <w:rStyle w:val="Hyperlink"/>
            <w:rFonts w:hint="eastAsia"/>
            <w:noProof/>
          </w:rPr>
          <w:t>——声明</w:t>
        </w:r>
        <w:r>
          <w:rPr>
            <w:noProof/>
            <w:webHidden/>
          </w:rPr>
          <w:tab/>
        </w:r>
        <w:r>
          <w:rPr>
            <w:noProof/>
            <w:webHidden/>
          </w:rPr>
          <w:fldChar w:fldCharType="begin"/>
        </w:r>
        <w:r>
          <w:rPr>
            <w:noProof/>
            <w:webHidden/>
          </w:rPr>
          <w:instrText xml:space="preserve"> PAGEREF _Toc70679851 \h </w:instrText>
        </w:r>
        <w:r>
          <w:rPr>
            <w:noProof/>
            <w:webHidden/>
          </w:rPr>
        </w:r>
        <w:r>
          <w:rPr>
            <w:noProof/>
            <w:webHidden/>
          </w:rPr>
          <w:fldChar w:fldCharType="separate"/>
        </w:r>
        <w:r>
          <w:rPr>
            <w:noProof/>
            <w:webHidden/>
          </w:rPr>
          <w:t>29</w:t>
        </w:r>
        <w:r>
          <w:rPr>
            <w:noProof/>
            <w:webHidden/>
          </w:rPr>
          <w:fldChar w:fldCharType="end"/>
        </w:r>
      </w:hyperlink>
    </w:p>
    <w:p w14:paraId="14B63736" w14:textId="24721AF9" w:rsidR="0096279F" w:rsidRDefault="0096279F">
      <w:pPr>
        <w:pStyle w:val="TOC3"/>
        <w:rPr>
          <w:rFonts w:eastAsiaTheme="minorEastAsia"/>
          <w:b w:val="0"/>
          <w:smallCaps w:val="0"/>
          <w:sz w:val="22"/>
        </w:rPr>
      </w:pPr>
      <w:hyperlink w:anchor="_Toc70679852" w:history="1">
        <w:r w:rsidRPr="00AF3D9B">
          <w:rPr>
            <w:rStyle w:val="Hyperlink"/>
          </w:rPr>
          <w:t>Bing Maps</w:t>
        </w:r>
        <w:r>
          <w:rPr>
            <w:webHidden/>
          </w:rPr>
          <w:tab/>
        </w:r>
        <w:r>
          <w:rPr>
            <w:webHidden/>
          </w:rPr>
          <w:fldChar w:fldCharType="begin"/>
        </w:r>
        <w:r>
          <w:rPr>
            <w:webHidden/>
          </w:rPr>
          <w:instrText xml:space="preserve"> PAGEREF _Toc70679852 \h </w:instrText>
        </w:r>
        <w:r>
          <w:rPr>
            <w:webHidden/>
          </w:rPr>
        </w:r>
        <w:r>
          <w:rPr>
            <w:webHidden/>
          </w:rPr>
          <w:fldChar w:fldCharType="separate"/>
        </w:r>
        <w:r>
          <w:rPr>
            <w:webHidden/>
          </w:rPr>
          <w:t>29</w:t>
        </w:r>
        <w:r>
          <w:rPr>
            <w:webHidden/>
          </w:rPr>
          <w:fldChar w:fldCharType="end"/>
        </w:r>
      </w:hyperlink>
    </w:p>
    <w:p w14:paraId="2D70C844" w14:textId="2C492CDE" w:rsidR="0096279F" w:rsidRDefault="0096279F">
      <w:pPr>
        <w:pStyle w:val="TOC3"/>
        <w:rPr>
          <w:rFonts w:eastAsiaTheme="minorEastAsia"/>
          <w:b w:val="0"/>
          <w:smallCaps w:val="0"/>
          <w:sz w:val="22"/>
        </w:rPr>
      </w:pPr>
      <w:hyperlink w:anchor="_Toc70679853" w:history="1">
        <w:r w:rsidRPr="00AF3D9B">
          <w:rPr>
            <w:rStyle w:val="Hyperlink"/>
            <w:rFonts w:hint="eastAsia"/>
          </w:rPr>
          <w:t>关于</w:t>
        </w:r>
        <w:r w:rsidRPr="00AF3D9B">
          <w:rPr>
            <w:rStyle w:val="Hyperlink"/>
          </w:rPr>
          <w:t xml:space="preserve"> Azure </w:t>
        </w:r>
        <w:r w:rsidRPr="00AF3D9B">
          <w:rPr>
            <w:rStyle w:val="Hyperlink"/>
            <w:rFonts w:hint="eastAsia"/>
          </w:rPr>
          <w:t>媒体服务</w:t>
        </w:r>
        <w:r w:rsidRPr="00AF3D9B">
          <w:rPr>
            <w:rStyle w:val="Hyperlink"/>
          </w:rPr>
          <w:t xml:space="preserve"> H.265/HEVC </w:t>
        </w:r>
        <w:r w:rsidRPr="00AF3D9B">
          <w:rPr>
            <w:rStyle w:val="Hyperlink"/>
            <w:rFonts w:hint="eastAsia"/>
          </w:rPr>
          <w:t>编码的声明</w:t>
        </w:r>
        <w:r>
          <w:rPr>
            <w:webHidden/>
          </w:rPr>
          <w:tab/>
        </w:r>
        <w:r>
          <w:rPr>
            <w:webHidden/>
          </w:rPr>
          <w:fldChar w:fldCharType="begin"/>
        </w:r>
        <w:r>
          <w:rPr>
            <w:webHidden/>
          </w:rPr>
          <w:instrText xml:space="preserve"> PAGEREF _Toc70679853 \h </w:instrText>
        </w:r>
        <w:r>
          <w:rPr>
            <w:webHidden/>
          </w:rPr>
        </w:r>
        <w:r>
          <w:rPr>
            <w:webHidden/>
          </w:rPr>
          <w:fldChar w:fldCharType="separate"/>
        </w:r>
        <w:r>
          <w:rPr>
            <w:webHidden/>
          </w:rPr>
          <w:t>29</w:t>
        </w:r>
        <w:r>
          <w:rPr>
            <w:webHidden/>
          </w:rPr>
          <w:fldChar w:fldCharType="end"/>
        </w:r>
      </w:hyperlink>
    </w:p>
    <w:p w14:paraId="5ABFB4A4" w14:textId="5FB259F7" w:rsidR="0096279F" w:rsidRDefault="0096279F">
      <w:pPr>
        <w:pStyle w:val="TOC3"/>
        <w:rPr>
          <w:rFonts w:eastAsiaTheme="minorEastAsia"/>
          <w:b w:val="0"/>
          <w:smallCaps w:val="0"/>
          <w:sz w:val="22"/>
        </w:rPr>
      </w:pPr>
      <w:hyperlink w:anchor="_Toc70679854" w:history="1">
        <w:r w:rsidRPr="00AF3D9B">
          <w:rPr>
            <w:rStyle w:val="Hyperlink"/>
            <w:rFonts w:hint="eastAsia"/>
          </w:rPr>
          <w:t>关于</w:t>
        </w:r>
        <w:r w:rsidRPr="00AF3D9B">
          <w:rPr>
            <w:rStyle w:val="Hyperlink"/>
          </w:rPr>
          <w:t xml:space="preserve"> H.264/AVC </w:t>
        </w:r>
        <w:r w:rsidRPr="00AF3D9B">
          <w:rPr>
            <w:rStyle w:val="Hyperlink"/>
            <w:rFonts w:hint="eastAsia"/>
          </w:rPr>
          <w:t>视频标准、</w:t>
        </w:r>
        <w:r w:rsidRPr="00AF3D9B">
          <w:rPr>
            <w:rStyle w:val="Hyperlink"/>
          </w:rPr>
          <w:t xml:space="preserve">VC-1 </w:t>
        </w:r>
        <w:r w:rsidRPr="00AF3D9B">
          <w:rPr>
            <w:rStyle w:val="Hyperlink"/>
            <w:rFonts w:hint="eastAsia"/>
          </w:rPr>
          <w:t>视频标准、和</w:t>
        </w:r>
        <w:r w:rsidRPr="00AF3D9B">
          <w:rPr>
            <w:rStyle w:val="Hyperlink"/>
          </w:rPr>
          <w:t xml:space="preserve">MPEG-4 </w:t>
        </w:r>
        <w:r w:rsidRPr="00AF3D9B">
          <w:rPr>
            <w:rStyle w:val="Hyperlink"/>
            <w:rFonts w:hint="eastAsia"/>
          </w:rPr>
          <w:t>视觉标准的声明</w:t>
        </w:r>
        <w:r>
          <w:rPr>
            <w:webHidden/>
          </w:rPr>
          <w:tab/>
        </w:r>
        <w:r>
          <w:rPr>
            <w:webHidden/>
          </w:rPr>
          <w:fldChar w:fldCharType="begin"/>
        </w:r>
        <w:r>
          <w:rPr>
            <w:webHidden/>
          </w:rPr>
          <w:instrText xml:space="preserve"> PAGEREF _Toc70679854 \h </w:instrText>
        </w:r>
        <w:r>
          <w:rPr>
            <w:webHidden/>
          </w:rPr>
        </w:r>
        <w:r>
          <w:rPr>
            <w:webHidden/>
          </w:rPr>
          <w:fldChar w:fldCharType="separate"/>
        </w:r>
        <w:r>
          <w:rPr>
            <w:webHidden/>
          </w:rPr>
          <w:t>29</w:t>
        </w:r>
        <w:r>
          <w:rPr>
            <w:webHidden/>
          </w:rPr>
          <w:fldChar w:fldCharType="end"/>
        </w:r>
      </w:hyperlink>
    </w:p>
    <w:p w14:paraId="0781CC8D" w14:textId="268EB916" w:rsidR="0096279F" w:rsidRDefault="0096279F">
      <w:pPr>
        <w:pStyle w:val="TOC1"/>
        <w:tabs>
          <w:tab w:val="right" w:leader="dot" w:pos="5030"/>
        </w:tabs>
        <w:rPr>
          <w:rFonts w:eastAsiaTheme="minorEastAsia"/>
          <w:b w:val="0"/>
          <w:caps w:val="0"/>
          <w:noProof/>
          <w:sz w:val="22"/>
        </w:rPr>
      </w:pPr>
      <w:hyperlink w:anchor="_Toc70679855" w:history="1">
        <w:r w:rsidRPr="00AF3D9B">
          <w:rPr>
            <w:rStyle w:val="Hyperlink"/>
            <w:rFonts w:hint="eastAsia"/>
            <w:noProof/>
          </w:rPr>
          <w:t>附件</w:t>
        </w:r>
        <w:r w:rsidRPr="00AF3D9B">
          <w:rPr>
            <w:rStyle w:val="Hyperlink"/>
            <w:noProof/>
          </w:rPr>
          <w:t xml:space="preserve"> 2</w:t>
        </w:r>
        <w:r w:rsidRPr="00AF3D9B">
          <w:rPr>
            <w:rStyle w:val="Hyperlink"/>
            <w:rFonts w:hint="eastAsia"/>
            <w:noProof/>
          </w:rPr>
          <w:t>——订购许可套件</w:t>
        </w:r>
        <w:r>
          <w:rPr>
            <w:noProof/>
            <w:webHidden/>
          </w:rPr>
          <w:tab/>
        </w:r>
        <w:r>
          <w:rPr>
            <w:noProof/>
            <w:webHidden/>
          </w:rPr>
          <w:fldChar w:fldCharType="begin"/>
        </w:r>
        <w:r>
          <w:rPr>
            <w:noProof/>
            <w:webHidden/>
          </w:rPr>
          <w:instrText xml:space="preserve"> PAGEREF _Toc70679855 \h </w:instrText>
        </w:r>
        <w:r>
          <w:rPr>
            <w:noProof/>
            <w:webHidden/>
          </w:rPr>
        </w:r>
        <w:r>
          <w:rPr>
            <w:noProof/>
            <w:webHidden/>
          </w:rPr>
          <w:fldChar w:fldCharType="separate"/>
        </w:r>
        <w:r>
          <w:rPr>
            <w:noProof/>
            <w:webHidden/>
          </w:rPr>
          <w:t>30</w:t>
        </w:r>
        <w:r>
          <w:rPr>
            <w:noProof/>
            <w:webHidden/>
          </w:rPr>
          <w:fldChar w:fldCharType="end"/>
        </w:r>
      </w:hyperlink>
    </w:p>
    <w:p w14:paraId="1990EFF4" w14:textId="543006E0" w:rsidR="0096279F" w:rsidRDefault="0096279F">
      <w:pPr>
        <w:pStyle w:val="TOC1"/>
        <w:tabs>
          <w:tab w:val="right" w:leader="dot" w:pos="5030"/>
        </w:tabs>
        <w:rPr>
          <w:rFonts w:eastAsiaTheme="minorEastAsia"/>
          <w:b w:val="0"/>
          <w:caps w:val="0"/>
          <w:noProof/>
          <w:sz w:val="22"/>
        </w:rPr>
      </w:pPr>
      <w:hyperlink w:anchor="_Toc70679856" w:history="1">
        <w:r w:rsidRPr="00AF3D9B">
          <w:rPr>
            <w:rStyle w:val="Hyperlink"/>
            <w:rFonts w:hint="eastAsia"/>
            <w:noProof/>
          </w:rPr>
          <w:t>附件</w:t>
        </w:r>
        <w:r w:rsidRPr="00AF3D9B">
          <w:rPr>
            <w:rStyle w:val="Hyperlink"/>
            <w:noProof/>
          </w:rPr>
          <w:t xml:space="preserve"> 3</w:t>
        </w:r>
        <w:r w:rsidRPr="00AF3D9B">
          <w:rPr>
            <w:rStyle w:val="Hyperlink"/>
            <w:rFonts w:hint="eastAsia"/>
            <w:noProof/>
          </w:rPr>
          <w:t>——标准合同条款（处理方）</w:t>
        </w:r>
        <w:r>
          <w:rPr>
            <w:noProof/>
            <w:webHidden/>
          </w:rPr>
          <w:tab/>
        </w:r>
        <w:r>
          <w:rPr>
            <w:noProof/>
            <w:webHidden/>
          </w:rPr>
          <w:fldChar w:fldCharType="begin"/>
        </w:r>
        <w:r>
          <w:rPr>
            <w:noProof/>
            <w:webHidden/>
          </w:rPr>
          <w:instrText xml:space="preserve"> PAGEREF _Toc70679856 \h </w:instrText>
        </w:r>
        <w:r>
          <w:rPr>
            <w:noProof/>
            <w:webHidden/>
          </w:rPr>
        </w:r>
        <w:r>
          <w:rPr>
            <w:noProof/>
            <w:webHidden/>
          </w:rPr>
          <w:fldChar w:fldCharType="separate"/>
        </w:r>
        <w:r>
          <w:rPr>
            <w:noProof/>
            <w:webHidden/>
          </w:rPr>
          <w:t>31</w:t>
        </w:r>
        <w:r>
          <w:rPr>
            <w:noProof/>
            <w:webHidden/>
          </w:rPr>
          <w:fldChar w:fldCharType="end"/>
        </w:r>
      </w:hyperlink>
    </w:p>
    <w:p w14:paraId="685215FE" w14:textId="2782D75C" w:rsidR="0096279F" w:rsidRDefault="0096279F">
      <w:pPr>
        <w:pStyle w:val="TOC1"/>
        <w:tabs>
          <w:tab w:val="right" w:leader="dot" w:pos="5030"/>
        </w:tabs>
        <w:rPr>
          <w:rFonts w:eastAsiaTheme="minorEastAsia"/>
          <w:b w:val="0"/>
          <w:caps w:val="0"/>
          <w:noProof/>
          <w:sz w:val="22"/>
        </w:rPr>
      </w:pPr>
      <w:hyperlink w:anchor="_Toc70679857" w:history="1">
        <w:r w:rsidRPr="00AF3D9B">
          <w:rPr>
            <w:rStyle w:val="Hyperlink"/>
            <w:rFonts w:hint="eastAsia"/>
            <w:noProof/>
          </w:rPr>
          <w:t>附件</w:t>
        </w:r>
        <w:r w:rsidRPr="00AF3D9B">
          <w:rPr>
            <w:rStyle w:val="Hyperlink"/>
            <w:noProof/>
          </w:rPr>
          <w:t xml:space="preserve"> 4 – </w:t>
        </w:r>
        <w:r w:rsidRPr="00AF3D9B">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_Toc70679857 \h </w:instrText>
        </w:r>
        <w:r>
          <w:rPr>
            <w:noProof/>
            <w:webHidden/>
          </w:rPr>
        </w:r>
        <w:r>
          <w:rPr>
            <w:noProof/>
            <w:webHidden/>
          </w:rPr>
          <w:fldChar w:fldCharType="separate"/>
        </w:r>
        <w:r>
          <w:rPr>
            <w:noProof/>
            <w:webHidden/>
          </w:rPr>
          <w:t>36</w:t>
        </w:r>
        <w:r>
          <w:rPr>
            <w:noProof/>
            <w:webHidden/>
          </w:rPr>
          <w:fldChar w:fldCharType="end"/>
        </w:r>
      </w:hyperlink>
    </w:p>
    <w:p w14:paraId="274D0478" w14:textId="30228D83"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70679791"/>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70679792"/>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6A4066"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70679793"/>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70679794"/>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70679795"/>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487133995"/>
      <w:bookmarkStart w:id="19" w:name="Definitions"/>
      <w:bookmarkStart w:id="20" w:name="_Toc70679796"/>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20"/>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21786A5D" w:rsidR="003C327C" w:rsidRPr="00002280" w:rsidRDefault="00C4731E" w:rsidP="00E4091D">
            <w:pPr>
              <w:pStyle w:val="ProductList-Body"/>
              <w:rPr>
                <w:rFonts w:cstheme="minorHAnsi"/>
              </w:rPr>
            </w:pPr>
            <w:r w:rsidRPr="00002280">
              <w:rPr>
                <w:rFonts w:cstheme="minorHAnsi"/>
                <w:sz w:val="16"/>
                <w:szCs w:val="16"/>
              </w:rPr>
              <w:t>Azure Stack HCI</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3FFE5797"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2A62D3C9" w14:textId="77777777" w:rsidR="00B37205" w:rsidRPr="00002280" w:rsidRDefault="00B37205" w:rsidP="00B37205">
      <w:pPr>
        <w:pStyle w:val="ProductList-ClauseHeading"/>
        <w:rPr>
          <w:color w:val="auto"/>
        </w:rPr>
      </w:pPr>
    </w:p>
    <w:p w14:paraId="04CEAA5C" w14:textId="677AC065" w:rsidR="008B0E36" w:rsidRPr="00002280" w:rsidRDefault="002D274C" w:rsidP="002D274C">
      <w:pPr>
        <w:pStyle w:val="ProductList-Body"/>
        <w:rPr>
          <w:b/>
          <w:szCs w:val="20"/>
        </w:rPr>
      </w:pPr>
      <w:r w:rsidRPr="00002280">
        <w:rPr>
          <w:rFonts w:hint="eastAsia"/>
          <w:b/>
          <w:szCs w:val="20"/>
        </w:rPr>
        <w:t>在线服务特定条款</w:t>
      </w:r>
    </w:p>
    <w:p w14:paraId="0692E028" w14:textId="75AE174C" w:rsidR="009921B6" w:rsidRPr="00002280" w:rsidRDefault="00B37205" w:rsidP="00002280">
      <w:pPr>
        <w:pStyle w:val="ProductList-Body"/>
        <w:numPr>
          <w:ilvl w:val="0"/>
          <w:numId w:val="58"/>
        </w:numPr>
      </w:pPr>
      <w:r w:rsidRPr="00002280">
        <w:t xml:space="preserve">Microsoft Azure </w:t>
      </w:r>
      <w:r w:rsidR="001F60F0" w:rsidRPr="00002280">
        <w:rPr>
          <w:rFonts w:hint="eastAsia"/>
        </w:rPr>
        <w:t>服务</w:t>
      </w:r>
      <w:r w:rsidRPr="00002280">
        <w:t xml:space="preserve">: </w:t>
      </w:r>
      <w:r w:rsidR="00D618F8" w:rsidRPr="00002280">
        <w:t xml:space="preserve"> </w:t>
      </w:r>
      <w:r w:rsidR="00002280" w:rsidRPr="00002280">
        <w:rPr>
          <w:rFonts w:hint="eastAsia"/>
        </w:rPr>
        <w:t>增加了</w:t>
      </w:r>
      <w:r w:rsidR="00002280" w:rsidRPr="00002280">
        <w:rPr>
          <w:rFonts w:hint="eastAsia"/>
        </w:rPr>
        <w:t xml:space="preserve"> </w:t>
      </w:r>
      <w:r w:rsidR="00002280" w:rsidRPr="00002280">
        <w:rPr>
          <w:rFonts w:hint="eastAsia"/>
        </w:rPr>
        <w:t>‘</w:t>
      </w:r>
      <w:r w:rsidR="005D50E7" w:rsidRPr="00002280">
        <w:rPr>
          <w:color w:val="000000" w:themeColor="text1"/>
        </w:rPr>
        <w:t xml:space="preserve">Azure Stack HCI’ </w:t>
      </w:r>
      <w:r w:rsidR="005D50E7" w:rsidRPr="00002280">
        <w:rPr>
          <w:rFonts w:hint="eastAsia"/>
          <w:color w:val="000000" w:themeColor="text1"/>
        </w:rPr>
        <w:t>条款。</w:t>
      </w:r>
      <w:r w:rsidR="005D50E7" w:rsidRPr="00002280">
        <w:rPr>
          <w:rFonts w:hint="eastAsia"/>
          <w:color w:val="000000" w:themeColor="text1"/>
        </w:rPr>
        <w:t xml:space="preserve"> </w:t>
      </w:r>
    </w:p>
    <w:p w14:paraId="469908A1" w14:textId="07DAA4ED" w:rsidR="00B553E1" w:rsidRDefault="00B553E1">
      <w:pPr>
        <w:rPr>
          <w:rFonts w:asciiTheme="majorHAnsi" w:hAnsiTheme="majorHAnsi"/>
          <w:b/>
          <w:sz w:val="40"/>
        </w:rPr>
      </w:pPr>
      <w:r>
        <w:br w:type="page"/>
      </w:r>
    </w:p>
    <w:p w14:paraId="08BC7463" w14:textId="30C98551" w:rsidR="00730B3A" w:rsidRPr="008E2AD9" w:rsidRDefault="00936D65" w:rsidP="00C91713">
      <w:pPr>
        <w:pStyle w:val="ProductList-SectionHeading"/>
        <w:outlineLvl w:val="0"/>
      </w:pPr>
      <w:bookmarkStart w:id="21" w:name="_Toc70679797"/>
      <w:r w:rsidRPr="008E2AD9">
        <w:rPr>
          <w:rFonts w:hint="eastAsia"/>
        </w:rPr>
        <w:lastRenderedPageBreak/>
        <w:t>定义</w:t>
      </w:r>
      <w:bookmarkEnd w:id="18"/>
      <w:bookmarkEnd w:id="21"/>
    </w:p>
    <w:bookmarkEnd w:id="19"/>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6A4066">
        <w:fldChar w:fldCharType="begin"/>
      </w:r>
      <w:r w:rsidR="006A4066">
        <w:instrText xml:space="preserve"> HYPERLINK \l "Attachment3" </w:instrText>
      </w:r>
      <w:r w:rsidR="006A4066">
        <w:fldChar w:fldCharType="separate"/>
      </w:r>
      <w:r w:rsidRPr="008E2AD9">
        <w:rPr>
          <w:rStyle w:val="Hyperlink"/>
          <w:rFonts w:hint="eastAsia"/>
        </w:rPr>
        <w:t>附件</w:t>
      </w:r>
      <w:r w:rsidRPr="008E2AD9">
        <w:rPr>
          <w:rStyle w:val="Hyperlink"/>
          <w:rFonts w:hint="eastAsia"/>
        </w:rPr>
        <w:t xml:space="preserve"> 3</w:t>
      </w:r>
      <w:r w:rsidR="006A4066">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70679798"/>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OnlineServicesChanges"/>
      <w:bookmarkStart w:id="25" w:name="_Toc70679799"/>
      <w:r w:rsidRPr="008E2AD9">
        <w:rPr>
          <w:rFonts w:hint="eastAsia"/>
        </w:rPr>
        <w:t>许可在线服务</w:t>
      </w:r>
      <w:bookmarkEnd w:id="25"/>
    </w:p>
    <w:bookmarkEnd w:id="24"/>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6A4066">
        <w:fldChar w:fldCharType="begin"/>
      </w:r>
      <w:r w:rsidR="006A4066">
        <w:instrText xml:space="preserve"> HYPERLINK \l "OnlineServiceSpecificTerms" </w:instrText>
      </w:r>
      <w:r w:rsidR="006A4066">
        <w:fldChar w:fldCharType="separate"/>
      </w:r>
      <w:r w:rsidR="002474AD">
        <w:rPr>
          <w:rStyle w:val="Hyperlink"/>
          <w:rFonts w:hint="eastAsia"/>
        </w:rPr>
        <w:t>特定于在线服务的条款</w:t>
      </w:r>
      <w:r w:rsidR="006A4066">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6A4066">
        <w:fldChar w:fldCharType="begin"/>
      </w:r>
      <w:r w:rsidR="006A4066">
        <w:instrText xml:space="preserve"> HYPERLINK \l "OnlineServiceSpecificTerms" </w:instrText>
      </w:r>
      <w:r w:rsidR="006A4066">
        <w:fldChar w:fldCharType="separate"/>
      </w:r>
      <w:r w:rsidRPr="008E2AD9">
        <w:rPr>
          <w:rStyle w:val="Hyperlink"/>
          <w:rFonts w:hint="eastAsia"/>
        </w:rPr>
        <w:t>特定于在线服务的条款</w:t>
      </w:r>
      <w:r w:rsidR="006A4066">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05138024" w14:textId="76F207B8" w:rsidR="00BD34EE" w:rsidRPr="00D908F5" w:rsidRDefault="00BD34EE" w:rsidP="00BD34EE">
      <w:pPr>
        <w:pStyle w:val="ProductList-Body"/>
        <w:ind w:left="158"/>
        <w:rPr>
          <w:rFonts w:cstheme="minorHAnsi"/>
        </w:rPr>
      </w:pPr>
      <w:r w:rsidRPr="00D908F5">
        <w:rPr>
          <w:rFonts w:cstheme="minorHAnsi"/>
        </w:rPr>
        <w:t>客户用于以下用途的硬件或软件</w:t>
      </w:r>
      <w:r w:rsidR="008653F2" w:rsidRPr="00D908F5">
        <w:rPr>
          <w:rFonts w:cstheme="minorHAnsi"/>
        </w:rPr>
        <w:t>不会减少客户所需的任何类型的许可数量</w:t>
      </w:r>
      <w:r w:rsidRPr="00D908F5">
        <w:rPr>
          <w:rFonts w:cstheme="minorHAnsi"/>
        </w:rPr>
        <w:t>：</w:t>
      </w:r>
    </w:p>
    <w:p w14:paraId="58279B06" w14:textId="7E5673B9"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合用连接或减少</w:t>
      </w:r>
      <w:r w:rsidRPr="00D908F5">
        <w:rPr>
          <w:rFonts w:cstheme="minorHAnsi"/>
        </w:rPr>
        <w:t xml:space="preserve"> OSE</w:t>
      </w:r>
      <w:r w:rsidRPr="00D908F5">
        <w:rPr>
          <w:rFonts w:cstheme="minorHAnsi"/>
        </w:rPr>
        <w:t>、设备或产品直接管理的用户的数量；</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70679800"/>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77777777" w:rsidR="0018427B" w:rsidRPr="0072329D" w:rsidRDefault="0018427B" w:rsidP="00DE4D87">
      <w:pPr>
        <w:pStyle w:val="ProductList-Body"/>
        <w:ind w:left="158"/>
      </w:pPr>
    </w:p>
    <w:p w14:paraId="4EAC22F8" w14:textId="77777777" w:rsidR="00DE4D87" w:rsidRPr="008E2AD9" w:rsidRDefault="00DE4D87" w:rsidP="00E26E2E">
      <w:pPr>
        <w:pStyle w:val="ProductList-Body"/>
        <w:rPr>
          <w:sz w:val="24"/>
          <w:szCs w:val="24"/>
        </w:rPr>
      </w:pP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70679801"/>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6A4066">
        <w:fldChar w:fldCharType="begin"/>
      </w:r>
      <w:r w:rsidR="006A4066">
        <w:instrText xml:space="preserve"> HYPERLINK \l "OnlineServiceSpecificTerms" </w:instrText>
      </w:r>
      <w:r w:rsidR="006A4066">
        <w:fldChar w:fldCharType="separate"/>
      </w:r>
      <w:r w:rsidRPr="008E2AD9">
        <w:rPr>
          <w:rStyle w:val="Hyperlink"/>
          <w:rFonts w:hint="eastAsia"/>
        </w:rPr>
        <w:t>特定于在线服务的条款</w:t>
      </w:r>
      <w:r w:rsidR="006A4066">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70679802"/>
      <w:r w:rsidRPr="008E2AD9">
        <w:rPr>
          <w:rFonts w:hint="eastAsia"/>
        </w:rPr>
        <w:t>技术限制</w:t>
      </w:r>
      <w:bookmarkEnd w:id="29"/>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70679803"/>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Hlk512852734"/>
      <w:bookmarkStart w:id="32" w:name="_Toc7067980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1"/>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NonMicrosoftProducts"/>
      <w:bookmarkStart w:id="34" w:name="_Toc70679805"/>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70679806"/>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70679807"/>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70679808"/>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3"/>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lastRenderedPageBreak/>
        <w:t>政府客户</w:t>
      </w:r>
    </w:p>
    <w:bookmarkEnd w:id="43"/>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6259941D" w14:textId="4BC03BAE" w:rsidR="004D27A6" w:rsidRPr="008E2AD9" w:rsidRDefault="00C77D51" w:rsidP="005E2584">
      <w:pPr>
        <w:pStyle w:val="ProductList-SectionHeading"/>
        <w:tabs>
          <w:tab w:val="center" w:pos="5400"/>
        </w:tabs>
        <w:outlineLvl w:val="0"/>
      </w:pPr>
      <w:bookmarkStart w:id="44" w:name="_Toc70679809"/>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1A54F9FE" w14:textId="77777777" w:rsidR="00E4000C" w:rsidRPr="008E2AD9" w:rsidRDefault="00E4000C" w:rsidP="00E4000C">
      <w:pPr>
        <w:pStyle w:val="ProductList-Body"/>
        <w:numPr>
          <w:ilvl w:val="0"/>
          <w:numId w:val="8"/>
        </w:numPr>
        <w:sectPr w:rsidR="00E4000C"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45" w:name="_Toc487134012"/>
    </w:p>
    <w:p w14:paraId="26BE1604" w14:textId="77777777" w:rsidR="00881735" w:rsidRPr="008E2AD9" w:rsidRDefault="00881735" w:rsidP="00FD705A">
      <w:pPr>
        <w:pStyle w:val="ProductList-Body"/>
        <w:numPr>
          <w:ilvl w:val="0"/>
          <w:numId w:val="8"/>
        </w:numPr>
      </w:pPr>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35B281C9" w:rsidR="00881735" w:rsidRPr="00804DAA" w:rsidRDefault="00881735" w:rsidP="00FD705A">
      <w:pPr>
        <w:pStyle w:val="ProductList-Body"/>
        <w:numPr>
          <w:ilvl w:val="0"/>
          <w:numId w:val="8"/>
        </w:numPr>
      </w:pPr>
      <w:r w:rsidRPr="00804DAA">
        <w:rPr>
          <w:rFonts w:hint="eastAsia"/>
        </w:rPr>
        <w:t>数据位置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70679810"/>
      <w:r w:rsidRPr="008E2AD9">
        <w:rPr>
          <w:rFonts w:hint="eastAsia"/>
        </w:rPr>
        <w:t>范围</w:t>
      </w:r>
      <w:bookmarkEnd w:id="46"/>
    </w:p>
    <w:p w14:paraId="2C816A35" w14:textId="049498D6" w:rsidR="00F77036" w:rsidRPr="008E2AD9" w:rsidRDefault="00F77036" w:rsidP="1A67E690">
      <w:pPr>
        <w:pStyle w:val="ProductList-Body"/>
      </w:pPr>
      <w:r w:rsidRPr="00E23757">
        <w:rPr>
          <w:rFonts w:hint="eastAsia"/>
        </w:rPr>
        <w:t>本节中的条款（“数据保护条款”）适用于所有在线服务（但不包括</w:t>
      </w:r>
      <w:r w:rsidRPr="00E23757">
        <w:rPr>
          <w:rFonts w:hint="eastAsia"/>
        </w:rPr>
        <w:t xml:space="preserve"> </w:t>
      </w:r>
      <w:r w:rsidR="00B263C7" w:rsidRPr="00E23757">
        <w:t xml:space="preserve">Azure SQL Edge, </w:t>
      </w:r>
      <w:r w:rsidRPr="00E23757">
        <w:rPr>
          <w:rFonts w:hint="eastAsia"/>
        </w:rPr>
        <w:t>Azure Stack</w:t>
      </w:r>
      <w:r w:rsidR="00B263C7" w:rsidRPr="00E23757">
        <w:t xml:space="preserve"> Hub</w:t>
      </w:r>
      <w:r w:rsidRPr="00E23757">
        <w:rPr>
          <w:rFonts w:hint="eastAsia"/>
        </w:rPr>
        <w:t>、</w:t>
      </w:r>
      <w:r w:rsidRPr="00E23757">
        <w:rPr>
          <w:rFonts w:hint="eastAsia"/>
        </w:rPr>
        <w:t>Microsoft Genomics</w:t>
      </w:r>
      <w:r w:rsidRPr="00E23757">
        <w:rPr>
          <w:rFonts w:hint="eastAsia"/>
        </w:rPr>
        <w:t>，这些在线服务受适用</w:t>
      </w:r>
      <w:r w:rsidR="006A4066">
        <w:fldChar w:fldCharType="begin"/>
      </w:r>
      <w:r w:rsidR="006A4066">
        <w:instrText xml:space="preserve"> HYPERLINK \l "OnlineServiceSpecificTerms" </w:instrText>
      </w:r>
      <w:r w:rsidR="006A4066">
        <w:fldChar w:fldCharType="separate"/>
      </w:r>
      <w:r w:rsidRPr="00E23757">
        <w:rPr>
          <w:rStyle w:val="Hyperlink"/>
          <w:rFonts w:hint="eastAsia"/>
        </w:rPr>
        <w:t>特定于在线服务的条款</w:t>
      </w:r>
      <w:r w:rsidR="006A4066">
        <w:rPr>
          <w:rStyle w:val="Hyperlink"/>
        </w:rPr>
        <w:fldChar w:fldCharType="end"/>
      </w:r>
      <w:r w:rsidRPr="00E23757">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70679811"/>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70679812"/>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70679813"/>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70679814"/>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70679815"/>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70679816"/>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70679817"/>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70679818"/>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70679819"/>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70679820"/>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34054778"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w:t>
      </w:r>
      <w:r w:rsidR="00397540">
        <w:rPr>
          <w:rFonts w:hint="eastAsia"/>
        </w:rPr>
        <w:t>3</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0089BE0D" w14:textId="77777777" w:rsidR="0049715A" w:rsidRPr="008E2AD9" w:rsidRDefault="0049715A" w:rsidP="0049715A">
      <w:pPr>
        <w:pStyle w:val="ProductList-Body"/>
        <w:sectPr w:rsidR="0049715A"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70679821"/>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F57D26">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F57D26">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F57D26">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7BD12D3B" w:rsidR="009F16FD" w:rsidRPr="008E2AD9" w:rsidRDefault="009F16FD" w:rsidP="009F16FD">
            <w:pPr>
              <w:pStyle w:val="ProductList-Body"/>
              <w:rPr>
                <w:sz w:val="16"/>
                <w:szCs w:val="16"/>
              </w:rPr>
            </w:pPr>
            <w:r w:rsidRPr="008E2AD9">
              <w:rPr>
                <w:rFonts w:hint="eastAsia"/>
              </w:rPr>
              <w:t>以下服务，</w:t>
            </w:r>
            <w:r w:rsidRPr="00E23757">
              <w:rPr>
                <w:rFonts w:hint="eastAsia"/>
              </w:rPr>
              <w:t>每一项均可作为独立的服务或包括在</w:t>
            </w:r>
            <w:r w:rsidRPr="00E23757">
              <w:rPr>
                <w:rFonts w:hint="eastAsia"/>
              </w:rPr>
              <w:t xml:space="preserve"> Office 365 </w:t>
            </w:r>
            <w:r w:rsidRPr="00E23757">
              <w:rPr>
                <w:rFonts w:hint="eastAsia"/>
              </w:rPr>
              <w:t>品牌的计划或套件中：</w:t>
            </w:r>
            <w:bookmarkStart w:id="65" w:name="_Hlk498519502"/>
            <w:r w:rsidRPr="00E23757">
              <w:rPr>
                <w:rFonts w:hint="eastAsia"/>
                <w:sz w:val="16"/>
                <w:szCs w:val="16"/>
              </w:rPr>
              <w:t>Exchange Online Archiving</w:t>
            </w:r>
            <w:r w:rsidRPr="00E23757">
              <w:rPr>
                <w:rFonts w:hint="eastAsia"/>
                <w:sz w:val="16"/>
                <w:szCs w:val="16"/>
              </w:rPr>
              <w:t>、</w:t>
            </w:r>
            <w:r w:rsidRPr="00E23757">
              <w:rPr>
                <w:rFonts w:hint="eastAsia"/>
                <w:sz w:val="16"/>
                <w:szCs w:val="16"/>
              </w:rPr>
              <w:t>Exchange Online Protection</w:t>
            </w:r>
            <w:r w:rsidRPr="00E23757">
              <w:rPr>
                <w:rFonts w:hint="eastAsia"/>
                <w:sz w:val="16"/>
                <w:szCs w:val="16"/>
              </w:rPr>
              <w:t>、</w:t>
            </w:r>
            <w:r w:rsidRPr="00E23757">
              <w:rPr>
                <w:rFonts w:hint="eastAsia"/>
                <w:sz w:val="16"/>
                <w:szCs w:val="16"/>
              </w:rPr>
              <w:t>Exchange Online</w:t>
            </w:r>
            <w:r w:rsidRPr="00E23757">
              <w:rPr>
                <w:rFonts w:hint="eastAsia"/>
                <w:sz w:val="16"/>
                <w:szCs w:val="16"/>
              </w:rPr>
              <w:t>、</w:t>
            </w:r>
            <w:r w:rsidRPr="00E23757">
              <w:rPr>
                <w:rFonts w:hint="eastAsia"/>
                <w:sz w:val="16"/>
                <w:szCs w:val="16"/>
              </w:rPr>
              <w:t xml:space="preserve">Office </w:t>
            </w:r>
            <w:r w:rsidR="00D56C97" w:rsidRPr="00E23757">
              <w:rPr>
                <w:sz w:val="16"/>
                <w:szCs w:val="16"/>
              </w:rPr>
              <w:t>for the we</w:t>
            </w:r>
            <w:r w:rsidR="00857F69" w:rsidRPr="00E23757">
              <w:rPr>
                <w:rFonts w:hint="eastAsia"/>
                <w:sz w:val="16"/>
                <w:szCs w:val="16"/>
              </w:rPr>
              <w:t>b</w:t>
            </w:r>
            <w:r w:rsidRPr="00E23757">
              <w:rPr>
                <w:rFonts w:hint="eastAsia"/>
                <w:sz w:val="16"/>
                <w:szCs w:val="16"/>
              </w:rPr>
              <w:t>、</w:t>
            </w:r>
            <w:r w:rsidRPr="00E23757">
              <w:rPr>
                <w:rFonts w:hint="eastAsia"/>
                <w:sz w:val="16"/>
                <w:szCs w:val="16"/>
              </w:rPr>
              <w:t>OneDrive</w:t>
            </w:r>
            <w:r w:rsidRPr="008E2AD9">
              <w:rPr>
                <w:rFonts w:hint="eastAsia"/>
                <w:sz w:val="16"/>
                <w:szCs w:val="16"/>
              </w:rPr>
              <w:t xml:space="preser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F57D26">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54F9182"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w:t>
            </w:r>
            <w:r w:rsidRPr="00380528">
              <w:rPr>
                <w:rFonts w:hint="eastAsia"/>
                <w:sz w:val="16"/>
                <w:szCs w:val="16"/>
              </w:rPr>
              <w:t>流分析、</w:t>
            </w:r>
            <w:r w:rsidR="00F57D26" w:rsidRPr="00380528">
              <w:rPr>
                <w:sz w:val="16"/>
                <w:szCs w:val="16"/>
              </w:rPr>
              <w:t>Synapse Analytics</w:t>
            </w:r>
            <w:r w:rsidR="00F57D26" w:rsidRPr="00380528">
              <w:rPr>
                <w:rFonts w:hint="eastAsia"/>
                <w:sz w:val="16"/>
                <w:szCs w:val="16"/>
              </w:rPr>
              <w:t>，</w:t>
            </w:r>
            <w:r w:rsidRPr="00380528">
              <w:rPr>
                <w:rFonts w:hint="eastAsia"/>
                <w:sz w:val="16"/>
                <w:szCs w:val="16"/>
              </w:rPr>
              <w:t>流量管理器、虚拟机、虚拟机规模集、虚拟网络和</w:t>
            </w:r>
            <w:r w:rsidRPr="00380528">
              <w:rPr>
                <w:rFonts w:hint="eastAsia"/>
                <w:sz w:val="16"/>
                <w:szCs w:val="16"/>
              </w:rPr>
              <w:t xml:space="preserve"> VPN </w:t>
            </w:r>
            <w:r w:rsidRPr="00380528">
              <w:rPr>
                <w:rFonts w:hint="eastAsia"/>
                <w:sz w:val="16"/>
                <w:szCs w:val="16"/>
              </w:rPr>
              <w:t>网关</w:t>
            </w:r>
            <w:r w:rsidR="00367B53" w:rsidRPr="00380528">
              <w:rPr>
                <w:rFonts w:hint="eastAsia"/>
                <w:sz w:val="16"/>
                <w:szCs w:val="16"/>
              </w:rPr>
              <w:t>。</w:t>
            </w:r>
          </w:p>
        </w:tc>
      </w:tr>
      <w:tr w:rsidR="009F16FD" w:rsidRPr="008E2AD9" w14:paraId="6B9474EA" w14:textId="77777777" w:rsidTr="00F57D26">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F4192A" w:rsidRPr="008E2AD9" w14:paraId="015138BC" w14:textId="77777777" w:rsidTr="00F57D26">
        <w:tc>
          <w:tcPr>
            <w:tcW w:w="2610" w:type="dxa"/>
            <w:vAlign w:val="center"/>
          </w:tcPr>
          <w:p w14:paraId="6718214F" w14:textId="6BE147DB"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在线服务</w:t>
            </w:r>
          </w:p>
        </w:tc>
        <w:tc>
          <w:tcPr>
            <w:tcW w:w="8190" w:type="dxa"/>
          </w:tcPr>
          <w:p w14:paraId="23C2C01F" w14:textId="3C8E8D40"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的云服务部分。</w:t>
            </w:r>
          </w:p>
        </w:tc>
      </w:tr>
      <w:tr w:rsidR="00D75F39" w:rsidRPr="008E2AD9" w14:paraId="1BCE3A3C" w14:textId="77777777" w:rsidTr="00F57D26">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Default="003D6944" w:rsidP="00A914BF">
      <w:pPr>
        <w:pStyle w:val="ProductList-Body"/>
      </w:pPr>
    </w:p>
    <w:p w14:paraId="423EE358" w14:textId="77777777" w:rsidR="005A48F3" w:rsidRPr="008E2AD9" w:rsidRDefault="005A48F3"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70679822"/>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lastRenderedPageBreak/>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70679823"/>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70679824"/>
      <w:r w:rsidRPr="008E2AD9">
        <w:rPr>
          <w:rFonts w:hint="eastAsia"/>
        </w:rPr>
        <w:t xml:space="preserve">Microsoft Azure </w:t>
      </w:r>
      <w:r w:rsidRPr="008E2AD9">
        <w:rPr>
          <w:rFonts w:hint="eastAsia"/>
        </w:rPr>
        <w:t>服务</w:t>
      </w:r>
      <w:bookmarkEnd w:id="74"/>
      <w:bookmarkEnd w:id="75"/>
      <w:bookmarkEnd w:id="76"/>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70679825"/>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80" w:name="AzureSQLEdge"/>
      <w:bookmarkStart w:id="81" w:name="_Toc48144597"/>
      <w:bookmarkStart w:id="82" w:name="_Toc49344095"/>
      <w:bookmarkStart w:id="83" w:name="_Toc70679826"/>
      <w:r w:rsidRPr="00160D62">
        <w:rPr>
          <w:rFonts w:cstheme="majorHAnsi"/>
        </w:rPr>
        <w:t>Azure SQL Edge</w:t>
      </w:r>
      <w:bookmarkEnd w:id="80"/>
      <w:bookmarkEnd w:id="81"/>
      <w:bookmarkEnd w:id="82"/>
      <w:bookmarkEnd w:id="83"/>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019C1C96" w:rsidR="00DF0BA7" w:rsidRPr="002C6C99" w:rsidRDefault="00DF0BA7" w:rsidP="00DF0BA7">
      <w:pPr>
        <w:pStyle w:val="ProductList-Body"/>
        <w:rPr>
          <w:rFonts w:cstheme="minorHAnsi"/>
        </w:rPr>
      </w:pPr>
      <w:r w:rsidRPr="00686096">
        <w:rPr>
          <w:rFonts w:ascii="SimSun" w:hAnsi="SimSun" w:cstheme="minorHAnsi"/>
        </w:rPr>
        <w:lastRenderedPageBreak/>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w:t>
      </w:r>
      <w:proofErr w:type="spellStart"/>
      <w:r w:rsidRPr="002C6C99">
        <w:rPr>
          <w:rFonts w:cstheme="minorHAnsi"/>
        </w:rPr>
        <w:t>i</w:t>
      </w:r>
      <w:proofErr w:type="spellEnd"/>
      <w:r w:rsidRPr="002C6C99">
        <w:rPr>
          <w:rFonts w:cstheme="minorHAnsi"/>
        </w:rPr>
        <w:t xml:space="preserve">) </w:t>
      </w:r>
      <w:r w:rsidRPr="002C6C99">
        <w:rPr>
          <w:rFonts w:cstheme="minorHAnsi"/>
        </w:rPr>
        <w:t>设计或配置为主要与提供该计算设备主要功能的特定于行业或任务的软件程序（以下简称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4" w:name="_Toc62760331"/>
      <w:bookmarkStart w:id="85" w:name="_Toc70679827"/>
      <w:r w:rsidRPr="00002280">
        <w:rPr>
          <w:rFonts w:cstheme="majorHAnsi"/>
        </w:rPr>
        <w:t>Azure Stack HCI</w:t>
      </w:r>
      <w:bookmarkEnd w:id="84"/>
      <w:bookmarkEnd w:id="85"/>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4FEEF4FA"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DD681D" w:rsidRPr="00002280">
        <w:rPr>
          <w:rFonts w:cstheme="minorHAnsi" w:hint="eastAsia"/>
        </w:rPr>
        <w:t>数据保护</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CDF0069" w:rsidR="000858B9" w:rsidRPr="00002280" w:rsidRDefault="000858B9" w:rsidP="000858B9">
      <w:pPr>
        <w:pStyle w:val="ProductList-Body"/>
        <w:rPr>
          <w:rFonts w:cstheme="minorHAnsi"/>
        </w:rPr>
      </w:pPr>
      <w:r w:rsidRPr="00002280">
        <w:rPr>
          <w:rFonts w:cstheme="minorHAnsi"/>
          <w:szCs w:val="18"/>
        </w:rPr>
        <w:t>我们将依照</w:t>
      </w:r>
      <w:r w:rsidRPr="00002280">
        <w:rPr>
          <w:rFonts w:cstheme="minorHAnsi"/>
          <w:szCs w:val="18"/>
        </w:rPr>
        <w:t xml:space="preserve"> </w:t>
      </w:r>
      <w:r w:rsidR="00DD681D" w:rsidRPr="00002280">
        <w:rPr>
          <w:rFonts w:cstheme="minorHAnsi" w:hint="eastAsia"/>
        </w:rPr>
        <w:t>数据保护</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w:t>
      </w:r>
      <w:proofErr w:type="spellStart"/>
      <w:r w:rsidRPr="00002280">
        <w:rPr>
          <w:rFonts w:cstheme="minorHAnsi"/>
        </w:rPr>
        <w:t>i</w:t>
      </w:r>
      <w:proofErr w:type="spellEnd"/>
      <w:r w:rsidRPr="00002280">
        <w:rPr>
          <w:rFonts w:cstheme="minorHAnsi"/>
        </w:rPr>
        <w:t xml:space="preserve">)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w:t>
      </w:r>
      <w:proofErr w:type="spellStart"/>
      <w:r w:rsidRPr="00002280">
        <w:rPr>
          <w:rFonts w:cstheme="minorHAnsi"/>
        </w:rPr>
        <w:t>i</w:t>
      </w:r>
      <w:proofErr w:type="spellEnd"/>
      <w:r w:rsidRPr="00002280">
        <w:rPr>
          <w:rFonts w:cstheme="minorHAnsi"/>
        </w:rPr>
        <w:t xml:space="preserve">)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w:t>
      </w:r>
      <w:proofErr w:type="spellStart"/>
      <w:r w:rsidRPr="00002280">
        <w:rPr>
          <w:rFonts w:cstheme="minorHAnsi"/>
        </w:rPr>
        <w:t>i</w:t>
      </w:r>
      <w:proofErr w:type="spellEnd"/>
      <w:r w:rsidRPr="00002280">
        <w:rPr>
          <w:rFonts w:cstheme="minorHAnsi"/>
        </w:rPr>
        <w:t xml:space="preserve">)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23855344"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proofErr w:type="spellStart"/>
      <w:r w:rsidRPr="00002280">
        <w:rPr>
          <w:rFonts w:cstheme="minorHAnsi"/>
        </w:rPr>
        <w:t>i</w:t>
      </w:r>
      <w:proofErr w:type="spellEnd"/>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）不能仅提供基础结构服务，例如虚拟机，容器，存储或用于管理其的服务。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6" w:name="_Toc70679828"/>
      <w:r w:rsidRPr="008456E0">
        <w:rPr>
          <w:rFonts w:hint="eastAsia"/>
        </w:rPr>
        <w:t>Azure Stack</w:t>
      </w:r>
      <w:bookmarkEnd w:id="77"/>
      <w:r w:rsidR="007B33CA" w:rsidRPr="008456E0">
        <w:t xml:space="preserve"> Hub</w:t>
      </w:r>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E4FE098"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Pr="008456E0">
        <w:t>在线服务条款</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Pr="008456E0">
        <w:t>在线服务条款的附件</w:t>
      </w:r>
      <w:r w:rsidRPr="008456E0">
        <w:t xml:space="preserve"> 4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8456E0"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lastRenderedPageBreak/>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AC0F8A"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70679829"/>
      <w:r w:rsidRPr="00AC0F8A">
        <w:rPr>
          <w:rFonts w:asciiTheme="minorHAnsi" w:hAnsiTheme="minorHAnsi"/>
        </w:rPr>
        <w:t>认知服务</w:t>
      </w:r>
      <w:bookmarkEnd w:id="87"/>
      <w:bookmarkEnd w:id="88"/>
      <w:bookmarkEnd w:id="89"/>
    </w:p>
    <w:p w14:paraId="0821FA64" w14:textId="77777777" w:rsidR="005C36F6" w:rsidRPr="00AC0F8A" w:rsidRDefault="005C36F6" w:rsidP="005C36F6">
      <w:pPr>
        <w:pStyle w:val="ProductList-ClauseHeading"/>
        <w:keepNext w:val="0"/>
        <w:rPr>
          <w:szCs w:val="18"/>
        </w:rPr>
      </w:pPr>
      <w:r w:rsidRPr="00AC0F8A">
        <w:rPr>
          <w:szCs w:val="18"/>
        </w:rPr>
        <w:t>产品文档</w:t>
      </w:r>
    </w:p>
    <w:p w14:paraId="1A8F8F85" w14:textId="15129BEB" w:rsidR="005C36F6" w:rsidRPr="00AC0F8A" w:rsidRDefault="00471A57" w:rsidP="005C36F6">
      <w:pPr>
        <w:spacing w:after="0"/>
        <w:rPr>
          <w:rFonts w:cstheme="minorHAnsi"/>
          <w:sz w:val="18"/>
          <w:szCs w:val="18"/>
        </w:rPr>
      </w:pPr>
      <w:r w:rsidRPr="00AC0F8A">
        <w:rPr>
          <w:rFonts w:cstheme="minorHAnsi" w:hint="eastAsia"/>
          <w:sz w:val="18"/>
          <w:szCs w:val="18"/>
        </w:rPr>
        <w:t>世纪互联</w:t>
      </w:r>
      <w:r w:rsidR="005C36F6" w:rsidRPr="00AC0F8A">
        <w:rPr>
          <w:rFonts w:cstheme="minorHAnsi"/>
          <w:sz w:val="18"/>
          <w:szCs w:val="18"/>
        </w:rPr>
        <w:t>可能会在线提供与适用于认知服务的恰当操作相关的技术文档（包括适用的开发人员指南），并不时更新。客户确认并同意其已查阅此文档，并将根据适用情况依照该文档使用认知服务。</w:t>
      </w:r>
    </w:p>
    <w:p w14:paraId="108195D8" w14:textId="62B9D0F1" w:rsidR="005C36F6" w:rsidRPr="00032B1F" w:rsidRDefault="005C36F6" w:rsidP="005C36F6">
      <w:pPr>
        <w:spacing w:after="0"/>
        <w:rPr>
          <w:rFonts w:cstheme="minorHAnsi"/>
          <w:sz w:val="18"/>
          <w:szCs w:val="18"/>
        </w:rPr>
      </w:pPr>
      <w:r w:rsidRPr="00AC0F8A">
        <w:rPr>
          <w:rFonts w:cstheme="minorHAnsi"/>
          <w:sz w:val="18"/>
          <w:szCs w:val="18"/>
        </w:rPr>
        <w:t>某些认知服务旨在处理客户数据，包括生物特征数据（产品文档中可能会进一步说明），客户可能将此类数据纳入自己用于个人识别或其他用途的系统。客户确认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Pr="00AC0F8A">
        <w:rPr>
          <w:rFonts w:cstheme="minorHAnsi"/>
          <w:sz w:val="18"/>
          <w:szCs w:val="18"/>
        </w:rPr>
        <w:t>在线服务</w:t>
      </w:r>
      <w:r w:rsidR="008E6225" w:rsidRPr="00AC0F8A">
        <w:rPr>
          <w:rFonts w:cstheme="minorHAnsi" w:hint="eastAsia"/>
          <w:sz w:val="18"/>
          <w:szCs w:val="18"/>
        </w:rPr>
        <w:t>数据保护条款</w:t>
      </w:r>
      <w:r w:rsidRPr="00AC0F8A">
        <w:rPr>
          <w:rFonts w:cstheme="minorHAnsi"/>
          <w:bCs/>
          <w:sz w:val="18"/>
          <w:szCs w:val="18"/>
        </w:rPr>
        <w:t>中所规定的生物特征数据义务。</w:t>
      </w:r>
    </w:p>
    <w:p w14:paraId="3D33D292" w14:textId="77777777" w:rsidR="005C36F6"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3E936E05" w:rsidR="00773746"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0" w:name="EMS"/>
      <w:bookmarkStart w:id="91" w:name="_Toc487134032"/>
      <w:bookmarkStart w:id="92" w:name="_Toc70679830"/>
      <w:r w:rsidRPr="008E2AD9">
        <w:rPr>
          <w:rFonts w:hint="eastAsia"/>
        </w:rPr>
        <w:t xml:space="preserve">Microsoft Azure </w:t>
      </w:r>
      <w:r w:rsidRPr="008E2AD9">
        <w:rPr>
          <w:rFonts w:hint="eastAsia"/>
        </w:rPr>
        <w:t>计划</w:t>
      </w:r>
      <w:bookmarkEnd w:id="90"/>
      <w:bookmarkEnd w:id="91"/>
      <w:bookmarkEnd w:id="92"/>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3" w:name="AzureActiveDirectoryBasic"/>
      <w:bookmarkStart w:id="94" w:name="_Toc487134033"/>
      <w:bookmarkStart w:id="95" w:name="_Toc70679831"/>
      <w:r w:rsidRPr="008E2AD9">
        <w:rPr>
          <w:rFonts w:hint="eastAsia"/>
        </w:rPr>
        <w:t>Azure Active Directory Basic</w:t>
      </w:r>
      <w:bookmarkEnd w:id="93"/>
      <w:bookmarkEnd w:id="94"/>
      <w:bookmarkEnd w:id="95"/>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6" w:name="_Toc459970715"/>
      <w:bookmarkStart w:id="97" w:name="_Toc457466429"/>
      <w:bookmarkStart w:id="98" w:name="_Toc15472248"/>
      <w:bookmarkStart w:id="99" w:name="_Toc70679832"/>
      <w:r w:rsidRPr="00FE6221">
        <w:t>Azure Active Directory Premium</w:t>
      </w:r>
      <w:bookmarkEnd w:id="96"/>
      <w:bookmarkEnd w:id="97"/>
      <w:bookmarkEnd w:id="98"/>
      <w:bookmarkEnd w:id="99"/>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65B9FBFA" w:rsidR="00774366" w:rsidRPr="00F41912" w:rsidRDefault="00774366" w:rsidP="00774366">
      <w:pPr>
        <w:pStyle w:val="ProductList-Body"/>
      </w:pPr>
      <w:r w:rsidRPr="00964D5F">
        <w:t>对于客户为用户分配的每个用户</w:t>
      </w:r>
      <w:r w:rsidRPr="00964D5F">
        <w:t xml:space="preserve"> SL</w:t>
      </w:r>
      <w:r w:rsidRPr="00964D5F">
        <w:t>（或等效的订购许可套件），客户还可以允许最多五个额外的外部用户访问相应的</w:t>
      </w:r>
      <w:r w:rsidRPr="00964D5F">
        <w:t xml:space="preserve"> Azure Active Directory </w:t>
      </w:r>
      <w:r w:rsidRPr="00964D5F">
        <w:t>服务级别。</w:t>
      </w:r>
      <w:bookmarkStart w:id="100" w:name="_Hlk67059690"/>
      <w:r w:rsidR="004539E2" w:rsidRPr="00964D5F">
        <w:rPr>
          <w:rFonts w:ascii="Calibri" w:hAnsi="Calibri" w:cs="Calibri"/>
        </w:rPr>
        <w:t>此选项不适用于新客户，也不适用于按月活跃用户计数使用（或使用过）服务的客户</w:t>
      </w:r>
      <w:bookmarkEnd w:id="100"/>
      <w:r w:rsidR="004539E2" w:rsidRPr="00964D5F">
        <w:rPr>
          <w:rFonts w:ascii="Calibri" w:hAnsi="Calibri" w:cs="Calibri" w:hint="eastAsia"/>
        </w:rPr>
        <w:t>。</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1" w:name="_Toc70679833"/>
      <w:r w:rsidRPr="00B26C04">
        <w:rPr>
          <w:rFonts w:hint="eastAsia"/>
        </w:rPr>
        <w:t xml:space="preserve">Microsoft Dynamics 365 </w:t>
      </w:r>
      <w:r w:rsidRPr="00B26C04">
        <w:rPr>
          <w:rFonts w:hint="eastAsia"/>
        </w:rPr>
        <w:t>服务</w:t>
      </w:r>
      <w:bookmarkEnd w:id="101"/>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3"/>
          <w:footerReference w:type="first" r:id="rId34"/>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6A4066">
        <w:fldChar w:fldCharType="begin"/>
      </w:r>
      <w:r w:rsidR="006A4066">
        <w:instrText xml:space="preserve"> HYPERLINK \l "Attachment1" \o "</w:instrText>
      </w:r>
      <w:r w:rsidR="006A4066">
        <w:instrText>附件</w:instrText>
      </w:r>
      <w:r w:rsidR="006A4066">
        <w:instrText xml:space="preserve"> 1" </w:instrText>
      </w:r>
      <w:r w:rsidR="006A4066">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6A4066">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2" w:name="O365Services"/>
      <w:bookmarkStart w:id="103" w:name="_Toc487134037"/>
      <w:bookmarkStart w:id="104" w:name="_Toc70679834"/>
      <w:r w:rsidRPr="008E2AD9">
        <w:rPr>
          <w:rFonts w:hint="eastAsia"/>
        </w:rPr>
        <w:lastRenderedPageBreak/>
        <w:t xml:space="preserve">Office 365 </w:t>
      </w:r>
      <w:r w:rsidRPr="008E2AD9">
        <w:rPr>
          <w:rFonts w:hint="eastAsia"/>
        </w:rPr>
        <w:t>服务</w:t>
      </w:r>
      <w:bookmarkEnd w:id="102"/>
      <w:bookmarkEnd w:id="103"/>
      <w:bookmarkEnd w:id="104"/>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105"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105"/>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6" w:name="ExchangeOnline"/>
      <w:bookmarkStart w:id="107" w:name="_Toc487134038"/>
      <w:bookmarkStart w:id="108" w:name="_Toc70679835"/>
      <w:r w:rsidRPr="008E2AD9">
        <w:rPr>
          <w:rFonts w:hint="eastAsia"/>
        </w:rPr>
        <w:t>Exchange Online</w:t>
      </w:r>
      <w:bookmarkEnd w:id="106"/>
      <w:bookmarkEnd w:id="107"/>
      <w:bookmarkEnd w:id="108"/>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6A4066">
        <w:fldChar w:fldCharType="begin"/>
      </w:r>
      <w:r w:rsidR="006A4066">
        <w:instrText xml:space="preserve"> HYPERLINK \l "CoreFeaturesforOffice365Services" </w:instrText>
      </w:r>
      <w:r w:rsidR="006A4066">
        <w:fldChar w:fldCharType="separate"/>
      </w:r>
      <w:r w:rsidRPr="008E2AD9">
        <w:rPr>
          <w:rStyle w:val="Hyperlink"/>
          <w:rFonts w:hint="eastAsia"/>
        </w:rPr>
        <w:t>核心功能</w:t>
      </w:r>
      <w:r w:rsidR="006A4066">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6A4066">
        <w:fldChar w:fldCharType="begin"/>
      </w:r>
      <w:r w:rsidR="006A4066">
        <w:instrText xml:space="preserve"> HYPERLINK \l "CoreFeaturesforOffice365Services" </w:instrText>
      </w:r>
      <w:r w:rsidR="006A4066">
        <w:fldChar w:fldCharType="separate"/>
      </w:r>
      <w:r w:rsidRPr="008E2AD9">
        <w:rPr>
          <w:rStyle w:val="Hyperlink"/>
          <w:rFonts w:hint="eastAsia"/>
        </w:rPr>
        <w:t>核心功能</w:t>
      </w:r>
      <w:r w:rsidR="006A4066">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w:t>
      </w:r>
      <w:proofErr w:type="spellStart"/>
      <w:r w:rsidR="00484165" w:rsidRPr="00B60107">
        <w:rPr>
          <w:rFonts w:eastAsiaTheme="majorEastAsia" w:cstheme="minorHAnsi"/>
          <w:lang w:bidi="zh-CN"/>
        </w:rPr>
        <w:t>i</w:t>
      </w:r>
      <w:proofErr w:type="spellEnd"/>
      <w:r w:rsidR="00484165" w:rsidRPr="00B60107">
        <w:rPr>
          <w:rFonts w:eastAsiaTheme="majorEastAsia" w:cstheme="minorHAnsi"/>
          <w:lang w:bidi="zh-CN"/>
        </w:rPr>
        <w:t xml:space="preserve">)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9" w:name="_Hlk486589626"/>
    </w:p>
    <w:bookmarkEnd w:id="109"/>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0" w:name="O365Applications"/>
      <w:bookmarkStart w:id="111" w:name="_Toc487134039"/>
    </w:p>
    <w:p w14:paraId="20B71093" w14:textId="73AC1CDD" w:rsidR="00862C50" w:rsidRPr="008E2AD9" w:rsidRDefault="0041174B" w:rsidP="00D73EC5">
      <w:pPr>
        <w:pStyle w:val="ProductList-Offering2Heading"/>
        <w:outlineLvl w:val="2"/>
      </w:pPr>
      <w:bookmarkStart w:id="112" w:name="_Toc70679836"/>
      <w:r w:rsidRPr="00380528">
        <w:rPr>
          <w:rFonts w:hint="eastAsia"/>
        </w:rPr>
        <w:t>Microsoft</w:t>
      </w:r>
      <w:r w:rsidR="00862C50" w:rsidRPr="00380528">
        <w:rPr>
          <w:rFonts w:hint="eastAsia"/>
        </w:rPr>
        <w:t xml:space="preserve"> 365 </w:t>
      </w:r>
      <w:r w:rsidR="00862C50" w:rsidRPr="00380528">
        <w:rPr>
          <w:rFonts w:hint="eastAsia"/>
        </w:rPr>
        <w:t>应用程序</w:t>
      </w:r>
      <w:bookmarkEnd w:id="110"/>
      <w:bookmarkEnd w:id="111"/>
      <w:bookmarkEnd w:id="112"/>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6A4066">
        <w:fldChar w:fldCharType="begin"/>
      </w:r>
      <w:r w:rsidR="006A4066">
        <w:instrText xml:space="preserve"> HYPERLINK "http://www.office.com/sca" </w:instrText>
      </w:r>
      <w:r w:rsidR="006A4066">
        <w:fldChar w:fldCharType="separate"/>
      </w:r>
      <w:r w:rsidRPr="008E2AD9">
        <w:rPr>
          <w:rStyle w:val="Hyperlink"/>
          <w:rFonts w:hint="eastAsia"/>
        </w:rPr>
        <w:t>www.office.com/sca</w:t>
      </w:r>
      <w:r w:rsidR="006A4066">
        <w:rPr>
          <w:rStyle w:val="Hyperlink"/>
        </w:rPr>
        <w:fldChar w:fldCharType="end"/>
      </w:r>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12A5DFC4" w14:textId="32537FEC"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w:t>
      </w:r>
      <w:proofErr w:type="spellStart"/>
      <w:r w:rsidR="00094ADC" w:rsidRPr="00380528">
        <w:rPr>
          <w:rFonts w:eastAsiaTheme="majorEastAsia" w:cstheme="minorHAnsi"/>
        </w:rPr>
        <w:t>i</w:t>
      </w:r>
      <w:proofErr w:type="spellEnd"/>
      <w:r w:rsidR="00094ADC" w:rsidRPr="00380528">
        <w:rPr>
          <w:rFonts w:eastAsiaTheme="majorEastAsia" w:cstheme="minorHAnsi"/>
        </w:rPr>
        <w:t xml:space="preserve">)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lastRenderedPageBreak/>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3" w:name="_Toc487134041"/>
      <w:bookmarkStart w:id="114" w:name="_Toc70679837"/>
      <w:r w:rsidRPr="00964D5F">
        <w:rPr>
          <w:rFonts w:hint="eastAsia"/>
        </w:rPr>
        <w:t xml:space="preserve">Office </w:t>
      </w:r>
      <w:bookmarkEnd w:id="113"/>
      <w:r w:rsidR="001203BA" w:rsidRPr="00964D5F">
        <w:t>for the web</w:t>
      </w:r>
      <w:bookmarkEnd w:id="114"/>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r w:rsidR="006A4066">
        <w:fldChar w:fldCharType="begin"/>
      </w:r>
      <w:r w:rsidR="006A4066">
        <w:instrText xml:space="preserve"> HYPERLINK \l "CoreFeaturesforOffice365Services" </w:instrText>
      </w:r>
      <w:r w:rsidR="006A4066">
        <w:fldChar w:fldCharType="separate"/>
      </w:r>
      <w:r w:rsidRPr="00964D5F">
        <w:rPr>
          <w:rStyle w:val="Hyperlink"/>
          <w:rFonts w:hint="eastAsia"/>
        </w:rPr>
        <w:t>核心功能</w:t>
      </w:r>
      <w:r w:rsidR="006A4066">
        <w:rPr>
          <w:rStyle w:val="Hyperlink"/>
        </w:rPr>
        <w:fldChar w:fldCharType="end"/>
      </w:r>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15" w:name="_Toc487134042"/>
      <w:bookmarkStart w:id="116" w:name="_Toc70679838"/>
      <w:r w:rsidRPr="008E2AD9">
        <w:rPr>
          <w:rFonts w:hint="eastAsia"/>
        </w:rPr>
        <w:t>OneDrive for Business</w:t>
      </w:r>
      <w:bookmarkEnd w:id="115"/>
      <w:bookmarkEnd w:id="116"/>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17" w:name="_Toc487134043"/>
      <w:bookmarkStart w:id="118" w:name="ProjectOnline"/>
      <w:bookmarkStart w:id="119" w:name="_Toc70679839"/>
      <w:r w:rsidRPr="008E2AD9">
        <w:rPr>
          <w:rFonts w:hint="eastAsia"/>
        </w:rPr>
        <w:t>Project Online</w:t>
      </w:r>
      <w:bookmarkEnd w:id="117"/>
      <w:bookmarkEnd w:id="119"/>
    </w:p>
    <w:bookmarkEnd w:id="118"/>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20" w:name="_Toc487134044"/>
      <w:bookmarkStart w:id="121" w:name="SharePointOnline"/>
      <w:bookmarkStart w:id="122" w:name="_Toc70679840"/>
      <w:r w:rsidRPr="008E2AD9">
        <w:rPr>
          <w:rFonts w:hint="eastAsia"/>
        </w:rPr>
        <w:t>SharePoint Online</w:t>
      </w:r>
      <w:bookmarkEnd w:id="120"/>
      <w:bookmarkEnd w:id="121"/>
      <w:bookmarkEnd w:id="122"/>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6A4066">
        <w:fldChar w:fldCharType="begin"/>
      </w:r>
      <w:r w:rsidR="006A4066">
        <w:instrText xml:space="preserve"> HYPERLINK \l "CoreFeaturesforOffice365Services" </w:instrText>
      </w:r>
      <w:r w:rsidR="006A4066">
        <w:fldChar w:fldCharType="separate"/>
      </w:r>
      <w:r w:rsidRPr="008E2AD9">
        <w:rPr>
          <w:rStyle w:val="Hyperlink"/>
          <w:rFonts w:hint="eastAsia"/>
        </w:rPr>
        <w:t>核心功能</w:t>
      </w:r>
      <w:r w:rsidR="006A4066">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lastRenderedPageBreak/>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123" w:name="SkypeforBusinessOnline"/>
      <w:bookmarkStart w:id="124" w:name="_Toc487134045"/>
      <w:bookmarkStart w:id="125" w:name="_Toc70679841"/>
      <w:r w:rsidRPr="008E2AD9">
        <w:rPr>
          <w:rFonts w:hint="eastAsia"/>
        </w:rPr>
        <w:t>Skype for Business Online</w:t>
      </w:r>
      <w:bookmarkEnd w:id="123"/>
      <w:bookmarkEnd w:id="124"/>
      <w:bookmarkEnd w:id="125"/>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6A4066">
        <w:fldChar w:fldCharType="begin"/>
      </w:r>
      <w:r w:rsidR="006A4066">
        <w:instrText xml:space="preserve"> HYPERLINK \l "CoreFeaturesforOffice365Services" </w:instrText>
      </w:r>
      <w:r w:rsidR="006A4066">
        <w:fldChar w:fldCharType="separate"/>
      </w:r>
      <w:r w:rsidRPr="008E2AD9">
        <w:rPr>
          <w:rStyle w:val="Hyperlink"/>
          <w:rFonts w:hint="eastAsia"/>
        </w:rPr>
        <w:t>核心功能</w:t>
      </w:r>
      <w:r w:rsidR="006A4066">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6A4066"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26" w:name="OtherOnlineServices"/>
      <w:bookmarkStart w:id="127" w:name="_Toc487134047"/>
      <w:bookmarkStart w:id="128" w:name="_Toc70679842"/>
      <w:r w:rsidRPr="008E2AD9">
        <w:rPr>
          <w:rFonts w:hint="eastAsia"/>
        </w:rPr>
        <w:t>其他在线服务</w:t>
      </w:r>
      <w:bookmarkEnd w:id="126"/>
      <w:bookmarkEnd w:id="127"/>
      <w:bookmarkEnd w:id="128"/>
    </w:p>
    <w:p w14:paraId="7E3E6A80" w14:textId="0CC2BF6E" w:rsidR="004675CA" w:rsidRDefault="004675CA" w:rsidP="004675CA">
      <w:pPr>
        <w:pStyle w:val="ProductList-Offering2Heading"/>
        <w:outlineLvl w:val="2"/>
      </w:pPr>
      <w:bookmarkStart w:id="129" w:name="_Toc487134057"/>
      <w:bookmarkStart w:id="130" w:name="_Toc70679843"/>
      <w:r w:rsidRPr="001809C5">
        <w:t xml:space="preserve">Microsoft Power </w:t>
      </w:r>
      <w:r w:rsidR="00A12B20">
        <w:t>Platform</w:t>
      </w:r>
      <w:bookmarkEnd w:id="130"/>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lastRenderedPageBreak/>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7"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8"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31" w:name="_Toc36481045"/>
      <w:bookmarkStart w:id="132" w:name="_Toc41399551"/>
      <w:bookmarkStart w:id="133" w:name="_Toc70679844"/>
      <w:r w:rsidRPr="00380528">
        <w:rPr>
          <w:lang w:val="pt-BR"/>
        </w:rPr>
        <w:t>Microsoft Intune</w:t>
      </w:r>
      <w:bookmarkEnd w:id="131"/>
      <w:bookmarkEnd w:id="132"/>
      <w:bookmarkEnd w:id="133"/>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34"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34"/>
      <w:r w:rsidR="00711E6A">
        <w:br w:type="page"/>
      </w:r>
    </w:p>
    <w:p w14:paraId="4F45F791" w14:textId="5679E181" w:rsidR="00844DB9" w:rsidRPr="008E2AD9" w:rsidRDefault="00844DB9" w:rsidP="00844DB9">
      <w:pPr>
        <w:pStyle w:val="ProductList-SectionHeading"/>
        <w:outlineLvl w:val="0"/>
      </w:pPr>
      <w:bookmarkStart w:id="135" w:name="_Toc70679845"/>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35"/>
    </w:p>
    <w:p w14:paraId="4A374746" w14:textId="77777777" w:rsidR="00844DB9" w:rsidRPr="008E2AD9" w:rsidRDefault="00844DB9" w:rsidP="00844DB9">
      <w:pPr>
        <w:pStyle w:val="ProductList-SubSubSectionHeading"/>
        <w:outlineLvl w:val="1"/>
      </w:pPr>
      <w:bookmarkStart w:id="136" w:name="_Toc70679846"/>
      <w:r w:rsidRPr="008E2AD9">
        <w:rPr>
          <w:rFonts w:hint="eastAsia"/>
        </w:rPr>
        <w:t>Microsoft Azure</w:t>
      </w:r>
      <w:bookmarkEnd w:id="136"/>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9"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37" w:name="_Toc70679847"/>
      <w:r>
        <w:t>Microsoft Dynamics 365</w:t>
      </w:r>
      <w:bookmarkEnd w:id="137"/>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38" w:name="_Toc70679848"/>
      <w:r>
        <w:rPr>
          <w:rFonts w:hint="eastAsia"/>
        </w:rPr>
        <w:lastRenderedPageBreak/>
        <w:t>Office</w:t>
      </w:r>
      <w:r w:rsidR="00054D02">
        <w:t xml:space="preserve"> </w:t>
      </w:r>
      <w:r w:rsidR="00844DB9" w:rsidRPr="008E2AD9">
        <w:rPr>
          <w:rFonts w:hint="eastAsia"/>
        </w:rPr>
        <w:t>365</w:t>
      </w:r>
      <w:bookmarkEnd w:id="138"/>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39"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39"/>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lastRenderedPageBreak/>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40" w:name="_Toc70679849"/>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40"/>
    </w:p>
    <w:p w14:paraId="73D329D6" w14:textId="6F8863A0" w:rsidR="00B93883" w:rsidRPr="00A34B86" w:rsidRDefault="00B32841" w:rsidP="00B93883">
      <w:pPr>
        <w:pStyle w:val="F2VlAmend-Body-After-Table"/>
        <w:keepNext/>
        <w:spacing w:after="120"/>
        <w:rPr>
          <w:rFonts w:eastAsia="SimSun"/>
          <w:lang w:val="en-US"/>
        </w:rPr>
      </w:pPr>
      <w:bookmarkStart w:id="141"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41"/>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lastRenderedPageBreak/>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42" w:name="_Toc70679850"/>
      <w:r w:rsidRPr="008E2AD9">
        <w:rPr>
          <w:rFonts w:hint="eastAsia"/>
        </w:rPr>
        <w:t>世纪互联产品可用性定义</w:t>
      </w:r>
      <w:bookmarkEnd w:id="142"/>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lastRenderedPageBreak/>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43" w:name="Attachment1"/>
      <w:bookmarkStart w:id="144" w:name="_Toc70679851"/>
      <w:bookmarkEnd w:id="143"/>
      <w:r w:rsidRPr="008E2AD9">
        <w:rPr>
          <w:rFonts w:hint="eastAsia"/>
        </w:rPr>
        <w:lastRenderedPageBreak/>
        <w:t>附件</w:t>
      </w:r>
      <w:r w:rsidRPr="008E2AD9">
        <w:rPr>
          <w:rFonts w:hint="eastAsia"/>
        </w:rPr>
        <w:t xml:space="preserve"> 1</w:t>
      </w:r>
      <w:r w:rsidRPr="008E2AD9">
        <w:rPr>
          <w:rFonts w:hint="eastAsia"/>
        </w:rPr>
        <w:t>——声明</w:t>
      </w:r>
      <w:bookmarkEnd w:id="129"/>
      <w:bookmarkEnd w:id="144"/>
    </w:p>
    <w:p w14:paraId="478C3468" w14:textId="77777777" w:rsidR="0031112A" w:rsidRPr="00FE04B8" w:rsidRDefault="0031112A" w:rsidP="00E335BE">
      <w:pPr>
        <w:pStyle w:val="ProductList-Offering1Heading"/>
        <w:outlineLvl w:val="1"/>
      </w:pPr>
      <w:bookmarkStart w:id="145" w:name="_Toc2175666"/>
      <w:bookmarkStart w:id="146" w:name="_Toc70679852"/>
      <w:r w:rsidRPr="00FE04B8">
        <w:t>Bing Maps</w:t>
      </w:r>
      <w:bookmarkEnd w:id="145"/>
      <w:bookmarkEnd w:id="146"/>
    </w:p>
    <w:p w14:paraId="058CBF3A" w14:textId="6B57D845" w:rsidR="00FE04B8" w:rsidRDefault="00FE04B8" w:rsidP="0031112A">
      <w:pPr>
        <w:pStyle w:val="ProductList-Body"/>
      </w:pPr>
      <w:bookmarkStart w:id="147"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0"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41"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bookmarkEnd w:id="147"/>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48" w:name="_Toc487134060"/>
      <w:bookmarkStart w:id="149" w:name="_Toc70679853"/>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48"/>
      <w:bookmarkEnd w:id="149"/>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50" w:name="_Toc516239428"/>
      <w:bookmarkStart w:id="151" w:name="_Toc70679854"/>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50"/>
      <w:bookmarkEnd w:id="151"/>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w:t>
      </w:r>
      <w:proofErr w:type="spellStart"/>
      <w:r w:rsidRPr="00964D5F">
        <w:rPr>
          <w:rFonts w:hint="eastAsia"/>
        </w:rPr>
        <w:t>i</w:t>
      </w:r>
      <w:proofErr w:type="spellEnd"/>
      <w:r w:rsidRPr="00964D5F">
        <w:rPr>
          <w:rFonts w:hint="eastAsia"/>
        </w:rPr>
        <w:t xml:space="preserve">)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840DAC">
        <w:fldChar w:fldCharType="begin"/>
      </w:r>
      <w:r w:rsidR="00840DAC">
        <w:instrText xml:space="preserve"> HYPERLINK "http://www.mpegla.com" </w:instrText>
      </w:r>
      <w:r w:rsidR="00840DAC">
        <w:fldChar w:fldCharType="separate"/>
      </w:r>
      <w:r w:rsidRPr="008E2AD9">
        <w:rPr>
          <w:rStyle w:val="Hyperlink"/>
          <w:rFonts w:hint="eastAsia"/>
        </w:rPr>
        <w:t>www.mpegla.com</w:t>
      </w:r>
      <w:r w:rsidR="00840DAC">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52" w:name="_Toc507349543"/>
      <w:bookmarkStart w:id="153" w:name="Attachment2"/>
      <w:bookmarkStart w:id="154" w:name="_Toc487134064"/>
      <w:bookmarkStart w:id="155"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56" w:name="_Toc70679855"/>
      <w:r w:rsidRPr="008E2AD9">
        <w:rPr>
          <w:rFonts w:hint="eastAsia"/>
        </w:rPr>
        <w:lastRenderedPageBreak/>
        <w:t>附件</w:t>
      </w:r>
      <w:r w:rsidRPr="008E2AD9">
        <w:rPr>
          <w:rFonts w:hint="eastAsia"/>
        </w:rPr>
        <w:t xml:space="preserve"> 2</w:t>
      </w:r>
      <w:r w:rsidRPr="008E2AD9">
        <w:rPr>
          <w:rFonts w:hint="eastAsia"/>
        </w:rPr>
        <w:t>——订购许可套件</w:t>
      </w:r>
      <w:bookmarkEnd w:id="152"/>
      <w:bookmarkEnd w:id="156"/>
    </w:p>
    <w:bookmarkEnd w:id="153"/>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57" w:name="Attachment3"/>
      <w:bookmarkStart w:id="158" w:name="_Toc70679856"/>
      <w:r w:rsidRPr="008E2AD9">
        <w:rPr>
          <w:rFonts w:hint="eastAsia"/>
        </w:rPr>
        <w:lastRenderedPageBreak/>
        <w:t>附件</w:t>
      </w:r>
      <w:r w:rsidRPr="008E2AD9">
        <w:rPr>
          <w:rFonts w:hint="eastAsia"/>
        </w:rPr>
        <w:t xml:space="preserve"> 3</w:t>
      </w:r>
      <w:r w:rsidRPr="008E2AD9">
        <w:rPr>
          <w:rFonts w:hint="eastAsia"/>
        </w:rPr>
        <w:t>——标准合同条款（处理方）</w:t>
      </w:r>
      <w:bookmarkEnd w:id="154"/>
      <w:bookmarkEnd w:id="158"/>
    </w:p>
    <w:bookmarkEnd w:id="157"/>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59" w:name="Appendix1toAttachment3"/>
      <w:r w:rsidRPr="008E2AD9">
        <w:rPr>
          <w:rFonts w:hint="eastAsia"/>
          <w:b/>
        </w:rPr>
        <w:t>标准合同条款的附录</w:t>
      </w:r>
      <w:r w:rsidRPr="008E2AD9">
        <w:rPr>
          <w:rFonts w:hint="eastAsia"/>
          <w:b/>
        </w:rPr>
        <w:t xml:space="preserve"> 1</w:t>
      </w:r>
      <w:bookmarkEnd w:id="159"/>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0CBA76AC"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w:t>
      </w:r>
      <w:r w:rsidR="006832F3">
        <w:t>3</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6867654C"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w:t>
      </w:r>
      <w:r w:rsidR="006832F3">
        <w:t>3</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55"/>
      <w:r w:rsidR="00D158B9">
        <w:rPr>
          <w:rFonts w:hint="eastAsia"/>
        </w:rPr>
        <w:t>5</w:t>
      </w:r>
    </w:p>
    <w:p w14:paraId="7A5E26E0" w14:textId="77777777" w:rsidR="00AE767A" w:rsidRDefault="00AE767A">
      <w:pPr>
        <w:rPr>
          <w:rFonts w:asciiTheme="majorHAnsi" w:hAnsiTheme="majorHAnsi"/>
          <w:b/>
          <w:sz w:val="40"/>
        </w:rPr>
      </w:pPr>
      <w:bookmarkStart w:id="160" w:name="Attachment4"/>
      <w:r>
        <w:br w:type="page"/>
      </w:r>
    </w:p>
    <w:p w14:paraId="2ED2212F" w14:textId="4F43E2BC" w:rsidR="00F026AE" w:rsidRPr="008E2AD9" w:rsidRDefault="0092559C" w:rsidP="0062665C">
      <w:pPr>
        <w:pStyle w:val="ProductList-SectionHeading"/>
        <w:outlineLvl w:val="0"/>
      </w:pPr>
      <w:bookmarkStart w:id="161" w:name="_Toc70679857"/>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60"/>
      <w:bookmarkEnd w:id="161"/>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proofErr w:type="gramStart"/>
      <w:r w:rsidRPr="008E2AD9">
        <w:rPr>
          <w:rFonts w:hint="eastAsia"/>
        </w:rPr>
        <w:t>章中规定的行使数据主体权利的要求；</w:t>
      </w:r>
      <w:proofErr w:type="gramEnd"/>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proofErr w:type="gramStart"/>
      <w:r w:rsidRPr="008E2AD9">
        <w:rPr>
          <w:rFonts w:hint="eastAsia"/>
        </w:rPr>
        <w:t>条所规定的义务；</w:t>
      </w:r>
      <w:proofErr w:type="gramEnd"/>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w:t>
      </w:r>
      <w:proofErr w:type="gramStart"/>
      <w:r w:rsidRPr="008E2AD9">
        <w:rPr>
          <w:rFonts w:hint="eastAsia"/>
        </w:rPr>
        <w:t>但欧盟法律或欧盟成员国法律要求存储个人数据的情况除外；</w:t>
      </w:r>
      <w:proofErr w:type="gramEnd"/>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proofErr w:type="gramStart"/>
      <w:r w:rsidRPr="008E2AD9">
        <w:rPr>
          <w:rFonts w:hint="eastAsia"/>
        </w:rPr>
        <w:t>个人数据假名化和加密；</w:t>
      </w:r>
      <w:proofErr w:type="gramEnd"/>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w:t>
      </w:r>
      <w:proofErr w:type="gramStart"/>
      <w:r w:rsidRPr="008E2AD9">
        <w:rPr>
          <w:rFonts w:hint="eastAsia"/>
        </w:rPr>
        <w:t>可用性和故障恢复能力；</w:t>
      </w:r>
      <w:proofErr w:type="gramEnd"/>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3"/>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3044" w14:textId="77777777" w:rsidR="00853445" w:rsidRDefault="00853445" w:rsidP="009A573F">
      <w:pPr>
        <w:spacing w:after="0" w:line="240" w:lineRule="auto"/>
      </w:pPr>
      <w:r>
        <w:separator/>
      </w:r>
    </w:p>
    <w:p w14:paraId="12E4826A" w14:textId="77777777" w:rsidR="00853445" w:rsidRDefault="00853445" w:rsidP="00C91713"/>
  </w:endnote>
  <w:endnote w:type="continuationSeparator" w:id="0">
    <w:p w14:paraId="3947D188" w14:textId="77777777" w:rsidR="00853445" w:rsidRDefault="00853445" w:rsidP="009A573F">
      <w:pPr>
        <w:spacing w:after="0" w:line="240" w:lineRule="auto"/>
      </w:pPr>
      <w:r>
        <w:continuationSeparator/>
      </w:r>
    </w:p>
    <w:p w14:paraId="133E1D9C" w14:textId="77777777" w:rsidR="00853445" w:rsidRDefault="00853445" w:rsidP="00C91713"/>
  </w:endnote>
  <w:endnote w:type="continuationNotice" w:id="1">
    <w:p w14:paraId="6C4AECDD" w14:textId="77777777" w:rsidR="00853445" w:rsidRDefault="00853445">
      <w:pPr>
        <w:spacing w:after="0" w:line="240" w:lineRule="auto"/>
      </w:pPr>
    </w:p>
    <w:p w14:paraId="116DC00A" w14:textId="77777777" w:rsidR="00853445" w:rsidRDefault="0085344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857F69" w:rsidRPr="00C76DF3" w:rsidRDefault="006A4066" w:rsidP="00591643">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857F69" w:rsidRPr="00C76DF3" w:rsidRDefault="00857F6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857F69" w:rsidRPr="00C76DF3" w:rsidRDefault="006A4066" w:rsidP="00591643">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857F69" w:rsidRPr="00C76DF3" w:rsidRDefault="00857F6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857F69" w:rsidRPr="00C76DF3" w:rsidRDefault="006A4066" w:rsidP="003812FE">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857F69" w:rsidRPr="00C76DF3" w:rsidRDefault="00857F6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857F69" w:rsidRPr="00C76DF3" w:rsidRDefault="006A4066" w:rsidP="00591643">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857F69" w:rsidRPr="00C76DF3" w:rsidRDefault="006A4066" w:rsidP="003812FE">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857F69" w:rsidRPr="00C76DF3" w:rsidRDefault="006A4066" w:rsidP="003812FE">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2607589A" w14:textId="77777777" w:rsidR="00857F69" w:rsidRPr="00591643" w:rsidRDefault="00857F69">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E4FB" w14:textId="77777777" w:rsidR="00857F69" w:rsidRPr="00C91713" w:rsidRDefault="00857F69"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857F69" w:rsidRPr="00C76DF3" w:rsidRDefault="006A4066" w:rsidP="00591643">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857F69" w:rsidRPr="00C76DF3" w:rsidRDefault="00857F6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857F69" w:rsidRPr="00C76DF3" w:rsidRDefault="006A4066" w:rsidP="00591643">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857F69" w:rsidRPr="00C76DF3" w:rsidRDefault="00857F6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857F69" w:rsidRPr="00C76DF3" w:rsidRDefault="006A4066" w:rsidP="003812FE">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857F69" w:rsidRPr="00C76DF3" w:rsidRDefault="00857F6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857F69" w:rsidRPr="00C76DF3" w:rsidRDefault="006A4066" w:rsidP="00591643">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857F69" w:rsidRPr="00C76DF3" w:rsidRDefault="006A4066" w:rsidP="003812FE">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857F69" w:rsidRPr="00C76DF3" w:rsidRDefault="006A4066" w:rsidP="003812FE">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22F936D4" w14:textId="77777777" w:rsidR="00857F69" w:rsidRPr="00C91713" w:rsidRDefault="00857F69">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6A4066"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6A4066"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6A4066"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6A4066"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6A4066"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6A4066"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4BA8" w14:textId="77777777" w:rsidR="00857F69" w:rsidRDefault="00857F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53E4" w14:textId="77777777" w:rsidR="00857F69" w:rsidRPr="00591643" w:rsidRDefault="00857F69"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7710F56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3039B" w14:textId="77777777" w:rsidR="00857F69" w:rsidRPr="00C76DF3" w:rsidRDefault="006A4066" w:rsidP="00591643">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AE4D63" w14:textId="77777777" w:rsidR="00857F69" w:rsidRPr="00C76DF3" w:rsidRDefault="00857F6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BC760" w14:textId="77777777" w:rsidR="00857F69" w:rsidRPr="00C76DF3" w:rsidRDefault="006A4066" w:rsidP="00591643">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7C83D1" w14:textId="77777777" w:rsidR="00857F69" w:rsidRPr="00C76DF3" w:rsidRDefault="00857F6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9CFE2" w14:textId="77777777" w:rsidR="00857F69" w:rsidRPr="00C76DF3" w:rsidRDefault="006A4066" w:rsidP="003812FE">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08B43E" w14:textId="77777777" w:rsidR="00857F69" w:rsidRPr="00C76DF3" w:rsidRDefault="00857F6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F78FA2" w14:textId="77777777" w:rsidR="00857F69" w:rsidRPr="00C76DF3" w:rsidRDefault="006A4066" w:rsidP="00591643">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4DFCEB"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EC664B" w14:textId="77777777" w:rsidR="00857F69" w:rsidRPr="00C76DF3" w:rsidRDefault="006A4066" w:rsidP="003812FE">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1CF115" w14:textId="77777777" w:rsidR="00857F69" w:rsidRPr="00C76DF3" w:rsidRDefault="00857F6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59BF68" w14:textId="77777777" w:rsidR="00857F69" w:rsidRPr="00C76DF3" w:rsidRDefault="006A4066" w:rsidP="003812FE">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60A2B380" w14:textId="77777777" w:rsidR="00857F69" w:rsidRPr="00591643" w:rsidRDefault="00857F69">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A232" w14:textId="77777777" w:rsidR="00857F69" w:rsidRDefault="00857F6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E511" w14:textId="77777777" w:rsidR="00857F69" w:rsidRPr="00591643" w:rsidRDefault="00857F69"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57A9" w14:textId="77777777" w:rsidR="00853445" w:rsidRDefault="00853445" w:rsidP="009A573F">
      <w:pPr>
        <w:spacing w:after="0" w:line="240" w:lineRule="auto"/>
      </w:pPr>
      <w:r>
        <w:separator/>
      </w:r>
    </w:p>
    <w:p w14:paraId="7CC1D93D" w14:textId="77777777" w:rsidR="00853445" w:rsidRDefault="00853445" w:rsidP="00C91713"/>
  </w:footnote>
  <w:footnote w:type="continuationSeparator" w:id="0">
    <w:p w14:paraId="3408B4FB" w14:textId="77777777" w:rsidR="00853445" w:rsidRDefault="00853445" w:rsidP="009A573F">
      <w:pPr>
        <w:spacing w:after="0" w:line="240" w:lineRule="auto"/>
      </w:pPr>
      <w:r>
        <w:continuationSeparator/>
      </w:r>
    </w:p>
    <w:p w14:paraId="4D13D674" w14:textId="77777777" w:rsidR="00853445" w:rsidRDefault="00853445" w:rsidP="00C91713"/>
  </w:footnote>
  <w:footnote w:type="continuationNotice" w:id="1">
    <w:p w14:paraId="43D1B741" w14:textId="77777777" w:rsidR="00853445" w:rsidRDefault="00853445">
      <w:pPr>
        <w:spacing w:after="0" w:line="240" w:lineRule="auto"/>
      </w:pPr>
    </w:p>
    <w:p w14:paraId="5F701659" w14:textId="77777777" w:rsidR="00853445" w:rsidRDefault="0085344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37B5FCE0"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rsidR="00767A7D">
          <w:t>5</w:t>
        </w:r>
        <w:r w:rsidR="00767A7D">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FF34" w14:textId="77777777" w:rsidR="00857F69" w:rsidRDefault="00857F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547275"/>
      <w:docPartObj>
        <w:docPartGallery w:val="Page Numbers (Top of Page)"/>
        <w:docPartUnique/>
      </w:docPartObj>
    </w:sdtPr>
    <w:sdtEndPr>
      <w:rPr>
        <w:noProof/>
        <w:color w:val="404040" w:themeColor="text1" w:themeTint="BF"/>
        <w:sz w:val="16"/>
        <w:szCs w:val="16"/>
      </w:rPr>
    </w:sdtEndPr>
    <w:sdtContent>
      <w:p w14:paraId="69888F05" w14:textId="4783CFEB"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t>21</w:t>
        </w:r>
        <w:r>
          <w:rPr>
            <w:rFonts w:hint="eastAsia"/>
          </w:rPr>
          <w:t xml:space="preserve"> </w:t>
        </w:r>
        <w:r>
          <w:rPr>
            <w:rFonts w:hint="eastAsia"/>
          </w:rPr>
          <w:t>年</w:t>
        </w:r>
        <w:r>
          <w:rPr>
            <w:rFonts w:hint="eastAsia"/>
          </w:rPr>
          <w:t xml:space="preserve"> </w:t>
        </w:r>
        <w:r w:rsidR="00767A7D">
          <w:t>5</w:t>
        </w:r>
        <w:r w:rsidR="00767A7D">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9</w:t>
        </w:r>
        <w:r w:rsidRPr="004D27A6">
          <w:rPr>
            <w:rFonts w:hint="eastAsia"/>
            <w:color w:val="404040" w:themeColor="text1" w:themeTint="BF"/>
            <w:sz w:val="16"/>
            <w:szCs w:val="16"/>
          </w:rPr>
          <w:fldChar w:fldCharType="end"/>
        </w:r>
      </w:p>
    </w:sdtContent>
  </w:sdt>
  <w:p w14:paraId="36E3ACF3" w14:textId="77777777" w:rsidR="00857F69" w:rsidRDefault="00857F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564128"/>
      <w:docPartObj>
        <w:docPartGallery w:val="Page Numbers (Top of Page)"/>
        <w:docPartUnique/>
      </w:docPartObj>
    </w:sdtPr>
    <w:sdtEndPr>
      <w:rPr>
        <w:noProof/>
        <w:color w:val="404040" w:themeColor="text1" w:themeTint="BF"/>
        <w:sz w:val="16"/>
        <w:szCs w:val="16"/>
      </w:rPr>
    </w:sdtEndPr>
    <w:sdtContent>
      <w:p w14:paraId="158BC73A" w14:textId="77777777"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22</w:t>
        </w:r>
        <w:r w:rsidRPr="004D27A6">
          <w:rPr>
            <w:rFonts w:hint="eastAsia"/>
            <w:color w:val="404040" w:themeColor="text1" w:themeTint="BF"/>
            <w:sz w:val="16"/>
            <w:szCs w:val="16"/>
          </w:rPr>
          <w:fldChar w:fldCharType="end"/>
        </w:r>
      </w:p>
    </w:sdtContent>
  </w:sdt>
  <w:p w14:paraId="2E66B10C" w14:textId="77777777" w:rsidR="00857F69" w:rsidRDefault="00857F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B56B" w14:textId="77777777" w:rsidR="00857F69" w:rsidRDefault="00857F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0206849A"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rsidR="00767A7D">
          <w:t>5</w:t>
        </w:r>
        <w:r w:rsidR="00767A7D">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20DEEF2" w14:textId="77777777" w:rsidR="00857F69" w:rsidRDefault="00857F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3AF8CD8B"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t>21</w:t>
        </w:r>
        <w:r>
          <w:rPr>
            <w:rFonts w:hint="eastAsia"/>
          </w:rPr>
          <w:t xml:space="preserve"> </w:t>
        </w:r>
        <w:r>
          <w:rPr>
            <w:rFonts w:hint="eastAsia"/>
          </w:rPr>
          <w:t>年</w:t>
        </w:r>
        <w:r>
          <w:rPr>
            <w:rFonts w:hint="eastAsia"/>
          </w:rPr>
          <w:t xml:space="preserve"> </w:t>
        </w:r>
        <w:r w:rsidR="00767A7D">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12</w:t>
        </w:r>
        <w:r w:rsidRPr="004D27A6">
          <w:rPr>
            <w:rFonts w:hint="eastAsia"/>
            <w:color w:val="404040" w:themeColor="text1" w:themeTint="BF"/>
            <w:sz w:val="16"/>
            <w:szCs w:val="16"/>
          </w:rPr>
          <w:fldChar w:fldCharType="end"/>
        </w:r>
      </w:p>
    </w:sdtContent>
  </w:sdt>
  <w:p w14:paraId="01789FDF"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9"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9"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20"/>
  </w:num>
  <w:num w:numId="4">
    <w:abstractNumId w:val="13"/>
  </w:num>
  <w:num w:numId="5">
    <w:abstractNumId w:val="37"/>
  </w:num>
  <w:num w:numId="6">
    <w:abstractNumId w:val="33"/>
  </w:num>
  <w:num w:numId="7">
    <w:abstractNumId w:val="10"/>
  </w:num>
  <w:num w:numId="8">
    <w:abstractNumId w:val="3"/>
  </w:num>
  <w:num w:numId="9">
    <w:abstractNumId w:val="48"/>
  </w:num>
  <w:num w:numId="10">
    <w:abstractNumId w:val="49"/>
  </w:num>
  <w:num w:numId="11">
    <w:abstractNumId w:val="27"/>
  </w:num>
  <w:num w:numId="12">
    <w:abstractNumId w:val="0"/>
  </w:num>
  <w:num w:numId="13">
    <w:abstractNumId w:val="11"/>
  </w:num>
  <w:num w:numId="14">
    <w:abstractNumId w:val="9"/>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5"/>
  </w:num>
  <w:num w:numId="24">
    <w:abstractNumId w:val="14"/>
  </w:num>
  <w:num w:numId="25">
    <w:abstractNumId w:val="28"/>
  </w:num>
  <w:num w:numId="26">
    <w:abstractNumId w:val="31"/>
  </w:num>
  <w:num w:numId="27">
    <w:abstractNumId w:val="12"/>
  </w:num>
  <w:num w:numId="28">
    <w:abstractNumId w:val="42"/>
  </w:num>
  <w:num w:numId="29">
    <w:abstractNumId w:val="26"/>
  </w:num>
  <w:num w:numId="30">
    <w:abstractNumId w:val="16"/>
  </w:num>
  <w:num w:numId="31">
    <w:abstractNumId w:val="2"/>
  </w:num>
  <w:num w:numId="32">
    <w:abstractNumId w:val="18"/>
  </w:num>
  <w:num w:numId="33">
    <w:abstractNumId w:val="47"/>
  </w:num>
  <w:num w:numId="34">
    <w:abstractNumId w:val="51"/>
  </w:num>
  <w:num w:numId="35">
    <w:abstractNumId w:val="5"/>
  </w:num>
  <w:num w:numId="36">
    <w:abstractNumId w:val="1"/>
  </w:num>
  <w:num w:numId="37">
    <w:abstractNumId w:val="46"/>
  </w:num>
  <w:num w:numId="38">
    <w:abstractNumId w:val="41"/>
  </w:num>
  <w:num w:numId="39">
    <w:abstractNumId w:val="35"/>
  </w:num>
  <w:num w:numId="40">
    <w:abstractNumId w:val="4"/>
  </w:num>
  <w:num w:numId="41">
    <w:abstractNumId w:val="29"/>
  </w:num>
  <w:num w:numId="42">
    <w:abstractNumId w:val="21"/>
  </w:num>
  <w:num w:numId="43">
    <w:abstractNumId w:val="19"/>
  </w:num>
  <w:num w:numId="44">
    <w:abstractNumId w:val="36"/>
  </w:num>
  <w:num w:numId="45">
    <w:abstractNumId w:val="7"/>
  </w:num>
  <w:num w:numId="46">
    <w:abstractNumId w:val="15"/>
  </w:num>
  <w:num w:numId="47">
    <w:abstractNumId w:val="40"/>
  </w:num>
  <w:num w:numId="48">
    <w:abstractNumId w:val="24"/>
  </w:num>
  <w:num w:numId="49">
    <w:abstractNumId w:val="34"/>
  </w:num>
  <w:num w:numId="50">
    <w:abstractNumId w:val="17"/>
  </w:num>
  <w:num w:numId="51">
    <w:abstractNumId w:val="43"/>
  </w:num>
  <w:num w:numId="52">
    <w:abstractNumId w:val="38"/>
  </w:num>
  <w:num w:numId="53">
    <w:abstractNumId w:val="44"/>
  </w:num>
  <w:num w:numId="54">
    <w:abstractNumId w:val="30"/>
  </w:num>
  <w:num w:numId="55">
    <w:abstractNumId w:val="45"/>
  </w:num>
  <w:num w:numId="56">
    <w:abstractNumId w:val="23"/>
  </w:num>
  <w:num w:numId="57">
    <w:abstractNumId w:val="39"/>
  </w:num>
  <w:num w:numId="58">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e7ggzNm/ycUGoGcOA0Aq7+DvHb+urKXQkaTdL38eJNhJQiCIo/+PsibEYqcnXRwj/BUWrW6x2Hmc1PMlTPmn6w==" w:salt="fcl+a61FDCouzvXYBNJmf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7144"/>
    <w:rsid w:val="000C7B8D"/>
    <w:rsid w:val="000D0003"/>
    <w:rsid w:val="000D08A6"/>
    <w:rsid w:val="000D1BAB"/>
    <w:rsid w:val="000D1DB4"/>
    <w:rsid w:val="000D1EBF"/>
    <w:rsid w:val="000D1EF6"/>
    <w:rsid w:val="000D24C8"/>
    <w:rsid w:val="000D2F6E"/>
    <w:rsid w:val="000D306B"/>
    <w:rsid w:val="000D369C"/>
    <w:rsid w:val="000D36FF"/>
    <w:rsid w:val="000D3B64"/>
    <w:rsid w:val="000D49E9"/>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F31"/>
    <w:rsid w:val="00110FCC"/>
    <w:rsid w:val="0011102E"/>
    <w:rsid w:val="001113C6"/>
    <w:rsid w:val="00111B6A"/>
    <w:rsid w:val="00112740"/>
    <w:rsid w:val="001134CE"/>
    <w:rsid w:val="00114E60"/>
    <w:rsid w:val="00114EFE"/>
    <w:rsid w:val="001158C0"/>
    <w:rsid w:val="00116426"/>
    <w:rsid w:val="00116FFC"/>
    <w:rsid w:val="0011794B"/>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269"/>
    <w:rsid w:val="0017571A"/>
    <w:rsid w:val="00175A37"/>
    <w:rsid w:val="00175B93"/>
    <w:rsid w:val="00176374"/>
    <w:rsid w:val="00176C7C"/>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427B"/>
    <w:rsid w:val="001844E3"/>
    <w:rsid w:val="00184A4F"/>
    <w:rsid w:val="00185019"/>
    <w:rsid w:val="00185A8B"/>
    <w:rsid w:val="00185BF1"/>
    <w:rsid w:val="00186359"/>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D4A"/>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12"/>
    <w:rsid w:val="001C53BE"/>
    <w:rsid w:val="001C57D7"/>
    <w:rsid w:val="001C5C04"/>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0F0"/>
    <w:rsid w:val="001F6CC3"/>
    <w:rsid w:val="001F6D6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11D"/>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39E2"/>
    <w:rsid w:val="0045441F"/>
    <w:rsid w:val="0045472E"/>
    <w:rsid w:val="004551F1"/>
    <w:rsid w:val="0045549C"/>
    <w:rsid w:val="00455696"/>
    <w:rsid w:val="00455DF2"/>
    <w:rsid w:val="004567AA"/>
    <w:rsid w:val="00456898"/>
    <w:rsid w:val="0045689D"/>
    <w:rsid w:val="00456A64"/>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11CD"/>
    <w:rsid w:val="005A12F9"/>
    <w:rsid w:val="005A27D3"/>
    <w:rsid w:val="005A2833"/>
    <w:rsid w:val="005A2A0B"/>
    <w:rsid w:val="005A2ADF"/>
    <w:rsid w:val="005A2B4F"/>
    <w:rsid w:val="005A2FE5"/>
    <w:rsid w:val="005A483A"/>
    <w:rsid w:val="005A48F3"/>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6F6"/>
    <w:rsid w:val="005C37E4"/>
    <w:rsid w:val="005C40C4"/>
    <w:rsid w:val="005C51AC"/>
    <w:rsid w:val="005C551D"/>
    <w:rsid w:val="005C5D61"/>
    <w:rsid w:val="005C5E94"/>
    <w:rsid w:val="005C6E38"/>
    <w:rsid w:val="005C7157"/>
    <w:rsid w:val="005C7ADC"/>
    <w:rsid w:val="005C7FB8"/>
    <w:rsid w:val="005D0828"/>
    <w:rsid w:val="005D0AC4"/>
    <w:rsid w:val="005D1CA5"/>
    <w:rsid w:val="005D22F8"/>
    <w:rsid w:val="005D267E"/>
    <w:rsid w:val="005D2853"/>
    <w:rsid w:val="005D2EAC"/>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52F"/>
    <w:rsid w:val="0064170A"/>
    <w:rsid w:val="00642513"/>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414"/>
    <w:rsid w:val="006F7A3C"/>
    <w:rsid w:val="006F7B0A"/>
    <w:rsid w:val="006F7D72"/>
    <w:rsid w:val="00700428"/>
    <w:rsid w:val="0070061D"/>
    <w:rsid w:val="007012D6"/>
    <w:rsid w:val="0070170D"/>
    <w:rsid w:val="00701CF0"/>
    <w:rsid w:val="00702190"/>
    <w:rsid w:val="0070247B"/>
    <w:rsid w:val="00703044"/>
    <w:rsid w:val="007030B6"/>
    <w:rsid w:val="0070490F"/>
    <w:rsid w:val="00704D9C"/>
    <w:rsid w:val="00704E5D"/>
    <w:rsid w:val="00704ED1"/>
    <w:rsid w:val="007056A7"/>
    <w:rsid w:val="00705779"/>
    <w:rsid w:val="00705CA1"/>
    <w:rsid w:val="00706672"/>
    <w:rsid w:val="007068B3"/>
    <w:rsid w:val="00707F4F"/>
    <w:rsid w:val="00710A2F"/>
    <w:rsid w:val="00711172"/>
    <w:rsid w:val="00711815"/>
    <w:rsid w:val="00711D13"/>
    <w:rsid w:val="00711E6A"/>
    <w:rsid w:val="00711EB0"/>
    <w:rsid w:val="00712B04"/>
    <w:rsid w:val="00712C90"/>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0904"/>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B45"/>
    <w:rsid w:val="009B0ECA"/>
    <w:rsid w:val="009B0F82"/>
    <w:rsid w:val="009B17C3"/>
    <w:rsid w:val="009B1BF6"/>
    <w:rsid w:val="009B1CC5"/>
    <w:rsid w:val="009B1D23"/>
    <w:rsid w:val="009B280A"/>
    <w:rsid w:val="009B2C53"/>
    <w:rsid w:val="009B2DBE"/>
    <w:rsid w:val="009B3712"/>
    <w:rsid w:val="009B373A"/>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3689"/>
    <w:rsid w:val="00A343EB"/>
    <w:rsid w:val="00A34B86"/>
    <w:rsid w:val="00A35873"/>
    <w:rsid w:val="00A3588A"/>
    <w:rsid w:val="00A35A4A"/>
    <w:rsid w:val="00A36B74"/>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633"/>
    <w:rsid w:val="00AF0C99"/>
    <w:rsid w:val="00AF1178"/>
    <w:rsid w:val="00AF2743"/>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3C7"/>
    <w:rsid w:val="00B26543"/>
    <w:rsid w:val="00B26BEF"/>
    <w:rsid w:val="00B26C04"/>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05"/>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6070"/>
    <w:rsid w:val="00C36239"/>
    <w:rsid w:val="00C3648D"/>
    <w:rsid w:val="00C36DBB"/>
    <w:rsid w:val="00C37237"/>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FCC"/>
    <w:rsid w:val="00EA60A1"/>
    <w:rsid w:val="00EA6301"/>
    <w:rsid w:val="00EA6950"/>
    <w:rsid w:val="00EA6F54"/>
    <w:rsid w:val="00EA73C1"/>
    <w:rsid w:val="00EA7404"/>
    <w:rsid w:val="00EB0BCC"/>
    <w:rsid w:val="00EB10C5"/>
    <w:rsid w:val="00EB1562"/>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s://www.azure.cn/a" TargetMode="External"/><Relationship Id="rId21" Type="http://schemas.openxmlformats.org/officeDocument/2006/relationships/footer" Target="footer5.xml"/><Relationship Id="rId34" Type="http://schemas.openxmlformats.org/officeDocument/2006/relationships/footer" Target="footer14.xml"/><Relationship Id="rId42"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yperlink" Target="https://docs.microsoft.com/en-us/powerapps/maker/common-data-service/data-platform-restricted-entities" TargetMode="External"/><Relationship Id="rId40" Type="http://schemas.openxmlformats.org/officeDocument/2006/relationships/hyperlink" Target="http://go.microsoft.com/?linkid=9710837"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hyperlink" Target="https://go.microsoft.com/fwlink/?linkid=868812"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go.microsoft.com/fwlink/?LinkID=2486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FDC59FC3-AAD3-4DA2-82CF-808DB1054E21}">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sharepoint/v3"/>
    <ds:schemaRef ds:uri="http://schemas.openxmlformats.org/package/2006/metadata/core-properties"/>
    <ds:schemaRef ds:uri="http://schemas.microsoft.com/office/infopath/2007/PartnerControls"/>
    <ds:schemaRef ds:uri="293d5526-41e8-4f37-beee-df87ccd19469"/>
    <ds:schemaRef ds:uri="f5ef574c-1e88-4735-b177-40e24ddd8ec4"/>
  </ds:schemaRefs>
</ds:datastoreItem>
</file>

<file path=customXml/itemProps4.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83</TotalTime>
  <Pages>37</Pages>
  <Words>7845</Words>
  <Characters>44720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55</cp:revision>
  <cp:lastPrinted>2018-02-14T23:52:00Z</cp:lastPrinted>
  <dcterms:created xsi:type="dcterms:W3CDTF">2021-03-23T04:09:00Z</dcterms:created>
  <dcterms:modified xsi:type="dcterms:W3CDTF">2021-04-30T19:56:00Z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