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77B0FDC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1D36BE8B"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005D0A55"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BE7FFAF"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50A7B692"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A64CB5">
        <w:rPr>
          <w:rFonts w:asciiTheme="majorHAnsi" w:hAnsiTheme="majorHAnsi"/>
          <w:color w:val="FFFFFF" w:themeColor="background1"/>
          <w:sz w:val="56"/>
          <w:szCs w:val="72"/>
        </w:rPr>
        <w:t xml:space="preserve">December </w:t>
      </w:r>
      <w:r w:rsidR="004C0162">
        <w:rPr>
          <w:rFonts w:asciiTheme="majorHAnsi" w:hAnsiTheme="majorHAnsi"/>
          <w:color w:val="FFFFFF" w:themeColor="background1"/>
          <w:sz w:val="56"/>
          <w:szCs w:val="72"/>
        </w:rPr>
        <w:t>1, 2019</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7F6195FC" w14:textId="4B38AFB6" w:rsidR="001726A8"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25583976" w:history="1">
        <w:r w:rsidR="001726A8" w:rsidRPr="00C72AF9">
          <w:rPr>
            <w:rStyle w:val="Hyperlink"/>
            <w:noProof/>
          </w:rPr>
          <w:t>Introduction</w:t>
        </w:r>
        <w:r w:rsidR="001726A8">
          <w:rPr>
            <w:noProof/>
            <w:webHidden/>
          </w:rPr>
          <w:tab/>
        </w:r>
        <w:r w:rsidR="001726A8">
          <w:rPr>
            <w:noProof/>
            <w:webHidden/>
          </w:rPr>
          <w:fldChar w:fldCharType="begin"/>
        </w:r>
        <w:r w:rsidR="001726A8">
          <w:rPr>
            <w:noProof/>
            <w:webHidden/>
          </w:rPr>
          <w:instrText xml:space="preserve"> PAGEREF _Toc25583976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5DC3D5FD" w14:textId="03E09F3B" w:rsidR="001726A8" w:rsidRDefault="00FD1CF2">
      <w:pPr>
        <w:pStyle w:val="TOC5"/>
        <w:tabs>
          <w:tab w:val="right" w:leader="dot" w:pos="5030"/>
        </w:tabs>
        <w:rPr>
          <w:rFonts w:eastAsiaTheme="minorEastAsia"/>
          <w:noProof/>
          <w:sz w:val="22"/>
          <w:lang w:eastAsia="zh-CN"/>
        </w:rPr>
      </w:pPr>
      <w:hyperlink w:anchor="_Toc25583977" w:history="1">
        <w:r w:rsidR="001726A8" w:rsidRPr="00C72AF9">
          <w:rPr>
            <w:rStyle w:val="Hyperlink"/>
            <w:noProof/>
          </w:rPr>
          <w:t>Service Level Agreements</w:t>
        </w:r>
        <w:r w:rsidR="001726A8">
          <w:rPr>
            <w:noProof/>
            <w:webHidden/>
          </w:rPr>
          <w:tab/>
        </w:r>
        <w:r w:rsidR="001726A8">
          <w:rPr>
            <w:noProof/>
            <w:webHidden/>
          </w:rPr>
          <w:fldChar w:fldCharType="begin"/>
        </w:r>
        <w:r w:rsidR="001726A8">
          <w:rPr>
            <w:noProof/>
            <w:webHidden/>
          </w:rPr>
          <w:instrText xml:space="preserve"> PAGEREF _Toc25583977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3CF5250D" w14:textId="75414434" w:rsidR="001726A8" w:rsidRDefault="00FD1CF2">
      <w:pPr>
        <w:pStyle w:val="TOC5"/>
        <w:tabs>
          <w:tab w:val="right" w:leader="dot" w:pos="5030"/>
        </w:tabs>
        <w:rPr>
          <w:rFonts w:eastAsiaTheme="minorEastAsia"/>
          <w:noProof/>
          <w:sz w:val="22"/>
          <w:lang w:eastAsia="zh-CN"/>
        </w:rPr>
      </w:pPr>
      <w:hyperlink w:anchor="_Toc25583978" w:history="1">
        <w:r w:rsidR="001726A8" w:rsidRPr="00C72AF9">
          <w:rPr>
            <w:rStyle w:val="Hyperlink"/>
            <w:noProof/>
          </w:rPr>
          <w:t>Applicable Online Services Terms and Updates</w:t>
        </w:r>
        <w:r w:rsidR="001726A8">
          <w:rPr>
            <w:noProof/>
            <w:webHidden/>
          </w:rPr>
          <w:tab/>
        </w:r>
        <w:r w:rsidR="001726A8">
          <w:rPr>
            <w:noProof/>
            <w:webHidden/>
          </w:rPr>
          <w:fldChar w:fldCharType="begin"/>
        </w:r>
        <w:r w:rsidR="001726A8">
          <w:rPr>
            <w:noProof/>
            <w:webHidden/>
          </w:rPr>
          <w:instrText xml:space="preserve"> PAGEREF _Toc25583978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239B2AE8" w14:textId="2FB23CAB" w:rsidR="001726A8" w:rsidRDefault="00FD1CF2">
      <w:pPr>
        <w:pStyle w:val="TOC5"/>
        <w:tabs>
          <w:tab w:val="right" w:leader="dot" w:pos="5030"/>
        </w:tabs>
        <w:rPr>
          <w:rFonts w:eastAsiaTheme="minorEastAsia"/>
          <w:noProof/>
          <w:sz w:val="22"/>
          <w:lang w:eastAsia="zh-CN"/>
        </w:rPr>
      </w:pPr>
      <w:hyperlink w:anchor="_Toc25583979" w:history="1">
        <w:r w:rsidR="001726A8" w:rsidRPr="00C72AF9">
          <w:rPr>
            <w:rStyle w:val="Hyperlink"/>
            <w:noProof/>
          </w:rPr>
          <w:t>Electronic Notices</w:t>
        </w:r>
        <w:r w:rsidR="001726A8">
          <w:rPr>
            <w:noProof/>
            <w:webHidden/>
          </w:rPr>
          <w:tab/>
        </w:r>
        <w:r w:rsidR="001726A8">
          <w:rPr>
            <w:noProof/>
            <w:webHidden/>
          </w:rPr>
          <w:fldChar w:fldCharType="begin"/>
        </w:r>
        <w:r w:rsidR="001726A8">
          <w:rPr>
            <w:noProof/>
            <w:webHidden/>
          </w:rPr>
          <w:instrText xml:space="preserve"> PAGEREF _Toc25583979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12C9CF31" w14:textId="2C1F9BEF" w:rsidR="001726A8" w:rsidRDefault="00FD1CF2">
      <w:pPr>
        <w:pStyle w:val="TOC5"/>
        <w:tabs>
          <w:tab w:val="right" w:leader="dot" w:pos="5030"/>
        </w:tabs>
        <w:rPr>
          <w:rFonts w:eastAsiaTheme="minorEastAsia"/>
          <w:noProof/>
          <w:sz w:val="22"/>
          <w:lang w:eastAsia="zh-CN"/>
        </w:rPr>
      </w:pPr>
      <w:hyperlink w:anchor="_Toc25583980" w:history="1">
        <w:r w:rsidR="001726A8" w:rsidRPr="00C72AF9">
          <w:rPr>
            <w:rStyle w:val="Hyperlink"/>
            <w:noProof/>
          </w:rPr>
          <w:t>Prior Versions</w:t>
        </w:r>
        <w:r w:rsidR="001726A8">
          <w:rPr>
            <w:noProof/>
            <w:webHidden/>
          </w:rPr>
          <w:tab/>
        </w:r>
        <w:r w:rsidR="001726A8">
          <w:rPr>
            <w:noProof/>
            <w:webHidden/>
          </w:rPr>
          <w:fldChar w:fldCharType="begin"/>
        </w:r>
        <w:r w:rsidR="001726A8">
          <w:rPr>
            <w:noProof/>
            <w:webHidden/>
          </w:rPr>
          <w:instrText xml:space="preserve"> PAGEREF _Toc25583980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631E3429" w14:textId="044183C3" w:rsidR="001726A8" w:rsidRDefault="00FD1CF2">
      <w:pPr>
        <w:pStyle w:val="TOC3"/>
        <w:rPr>
          <w:rFonts w:eastAsiaTheme="minorEastAsia"/>
          <w:b w:val="0"/>
          <w:smallCaps w:val="0"/>
          <w:sz w:val="22"/>
          <w:lang w:eastAsia="zh-CN"/>
        </w:rPr>
      </w:pPr>
      <w:hyperlink w:anchor="_Toc25583981" w:history="1">
        <w:r w:rsidR="001726A8" w:rsidRPr="00C72AF9">
          <w:rPr>
            <w:rStyle w:val="Hyperlink"/>
          </w:rPr>
          <w:t>Clarifications and Summary of Changes</w:t>
        </w:r>
        <w:r w:rsidR="001726A8">
          <w:rPr>
            <w:webHidden/>
          </w:rPr>
          <w:tab/>
        </w:r>
        <w:r w:rsidR="001726A8">
          <w:rPr>
            <w:webHidden/>
          </w:rPr>
          <w:fldChar w:fldCharType="begin"/>
        </w:r>
        <w:r w:rsidR="001726A8">
          <w:rPr>
            <w:webHidden/>
          </w:rPr>
          <w:instrText xml:space="preserve"> PAGEREF _Toc25583981 \h </w:instrText>
        </w:r>
        <w:r w:rsidR="001726A8">
          <w:rPr>
            <w:webHidden/>
          </w:rPr>
        </w:r>
        <w:r w:rsidR="001726A8">
          <w:rPr>
            <w:webHidden/>
          </w:rPr>
          <w:fldChar w:fldCharType="separate"/>
        </w:r>
        <w:r w:rsidR="001726A8">
          <w:rPr>
            <w:webHidden/>
          </w:rPr>
          <w:t>3</w:t>
        </w:r>
        <w:r w:rsidR="001726A8">
          <w:rPr>
            <w:webHidden/>
          </w:rPr>
          <w:fldChar w:fldCharType="end"/>
        </w:r>
      </w:hyperlink>
    </w:p>
    <w:p w14:paraId="18C3ECED" w14:textId="60C73B3B" w:rsidR="001726A8" w:rsidRDefault="00FD1CF2">
      <w:pPr>
        <w:pStyle w:val="TOC1"/>
        <w:tabs>
          <w:tab w:val="right" w:leader="dot" w:pos="5030"/>
        </w:tabs>
        <w:rPr>
          <w:rFonts w:eastAsiaTheme="minorEastAsia"/>
          <w:b w:val="0"/>
          <w:caps w:val="0"/>
          <w:noProof/>
          <w:sz w:val="22"/>
          <w:lang w:eastAsia="zh-CN"/>
        </w:rPr>
      </w:pPr>
      <w:hyperlink w:anchor="_Toc25583982" w:history="1">
        <w:r w:rsidR="001726A8" w:rsidRPr="00C72AF9">
          <w:rPr>
            <w:rStyle w:val="Hyperlink"/>
            <w:noProof/>
          </w:rPr>
          <w:t>Definitions</w:t>
        </w:r>
        <w:r w:rsidR="001726A8">
          <w:rPr>
            <w:noProof/>
            <w:webHidden/>
          </w:rPr>
          <w:tab/>
        </w:r>
        <w:r w:rsidR="001726A8">
          <w:rPr>
            <w:noProof/>
            <w:webHidden/>
          </w:rPr>
          <w:fldChar w:fldCharType="begin"/>
        </w:r>
        <w:r w:rsidR="001726A8">
          <w:rPr>
            <w:noProof/>
            <w:webHidden/>
          </w:rPr>
          <w:instrText xml:space="preserve"> PAGEREF _Toc25583982 \h </w:instrText>
        </w:r>
        <w:r w:rsidR="001726A8">
          <w:rPr>
            <w:noProof/>
            <w:webHidden/>
          </w:rPr>
        </w:r>
        <w:r w:rsidR="001726A8">
          <w:rPr>
            <w:noProof/>
            <w:webHidden/>
          </w:rPr>
          <w:fldChar w:fldCharType="separate"/>
        </w:r>
        <w:r w:rsidR="001726A8">
          <w:rPr>
            <w:noProof/>
            <w:webHidden/>
          </w:rPr>
          <w:t>3</w:t>
        </w:r>
        <w:r w:rsidR="001726A8">
          <w:rPr>
            <w:noProof/>
            <w:webHidden/>
          </w:rPr>
          <w:fldChar w:fldCharType="end"/>
        </w:r>
      </w:hyperlink>
    </w:p>
    <w:p w14:paraId="2F650662" w14:textId="5506C6DD" w:rsidR="001726A8" w:rsidRDefault="00FD1CF2">
      <w:pPr>
        <w:pStyle w:val="TOC1"/>
        <w:tabs>
          <w:tab w:val="right" w:leader="dot" w:pos="5030"/>
        </w:tabs>
        <w:rPr>
          <w:rFonts w:eastAsiaTheme="minorEastAsia"/>
          <w:b w:val="0"/>
          <w:caps w:val="0"/>
          <w:noProof/>
          <w:sz w:val="22"/>
          <w:lang w:eastAsia="zh-CN"/>
        </w:rPr>
      </w:pPr>
      <w:hyperlink w:anchor="_Toc25583983" w:history="1">
        <w:r w:rsidR="001726A8" w:rsidRPr="00C72AF9">
          <w:rPr>
            <w:rStyle w:val="Hyperlink"/>
            <w:noProof/>
          </w:rPr>
          <w:t>General Terms</w:t>
        </w:r>
        <w:r w:rsidR="001726A8">
          <w:rPr>
            <w:noProof/>
            <w:webHidden/>
          </w:rPr>
          <w:tab/>
        </w:r>
        <w:r w:rsidR="001726A8">
          <w:rPr>
            <w:noProof/>
            <w:webHidden/>
          </w:rPr>
          <w:fldChar w:fldCharType="begin"/>
        </w:r>
        <w:r w:rsidR="001726A8">
          <w:rPr>
            <w:noProof/>
            <w:webHidden/>
          </w:rPr>
          <w:instrText xml:space="preserve"> PAGEREF _Toc25583983 \h </w:instrText>
        </w:r>
        <w:r w:rsidR="001726A8">
          <w:rPr>
            <w:noProof/>
            <w:webHidden/>
          </w:rPr>
        </w:r>
        <w:r w:rsidR="001726A8">
          <w:rPr>
            <w:noProof/>
            <w:webHidden/>
          </w:rPr>
          <w:fldChar w:fldCharType="separate"/>
        </w:r>
        <w:r w:rsidR="001726A8">
          <w:rPr>
            <w:noProof/>
            <w:webHidden/>
          </w:rPr>
          <w:t>5</w:t>
        </w:r>
        <w:r w:rsidR="001726A8">
          <w:rPr>
            <w:noProof/>
            <w:webHidden/>
          </w:rPr>
          <w:fldChar w:fldCharType="end"/>
        </w:r>
      </w:hyperlink>
    </w:p>
    <w:p w14:paraId="51B29F9D" w14:textId="128A9E39" w:rsidR="001726A8" w:rsidRDefault="00FD1CF2">
      <w:pPr>
        <w:pStyle w:val="TOC5"/>
        <w:tabs>
          <w:tab w:val="right" w:leader="dot" w:pos="5030"/>
        </w:tabs>
        <w:rPr>
          <w:rFonts w:eastAsiaTheme="minorEastAsia"/>
          <w:noProof/>
          <w:sz w:val="22"/>
          <w:lang w:eastAsia="zh-CN"/>
        </w:rPr>
      </w:pPr>
      <w:hyperlink w:anchor="_Toc25583984" w:history="1">
        <w:r w:rsidR="001726A8" w:rsidRPr="00C72AF9">
          <w:rPr>
            <w:rStyle w:val="Hyperlink"/>
            <w:noProof/>
          </w:rPr>
          <w:t>Licensing the Online Services</w:t>
        </w:r>
        <w:r w:rsidR="001726A8">
          <w:rPr>
            <w:noProof/>
            <w:webHidden/>
          </w:rPr>
          <w:tab/>
        </w:r>
        <w:r w:rsidR="001726A8">
          <w:rPr>
            <w:noProof/>
            <w:webHidden/>
          </w:rPr>
          <w:fldChar w:fldCharType="begin"/>
        </w:r>
        <w:r w:rsidR="001726A8">
          <w:rPr>
            <w:noProof/>
            <w:webHidden/>
          </w:rPr>
          <w:instrText xml:space="preserve"> PAGEREF _Toc25583984 \h </w:instrText>
        </w:r>
        <w:r w:rsidR="001726A8">
          <w:rPr>
            <w:noProof/>
            <w:webHidden/>
          </w:rPr>
        </w:r>
        <w:r w:rsidR="001726A8">
          <w:rPr>
            <w:noProof/>
            <w:webHidden/>
          </w:rPr>
          <w:fldChar w:fldCharType="separate"/>
        </w:r>
        <w:r w:rsidR="001726A8">
          <w:rPr>
            <w:noProof/>
            <w:webHidden/>
          </w:rPr>
          <w:t>5</w:t>
        </w:r>
        <w:r w:rsidR="001726A8">
          <w:rPr>
            <w:noProof/>
            <w:webHidden/>
          </w:rPr>
          <w:fldChar w:fldCharType="end"/>
        </w:r>
      </w:hyperlink>
    </w:p>
    <w:p w14:paraId="4CA224D9" w14:textId="1C5E7BD9" w:rsidR="001726A8" w:rsidRDefault="00FD1CF2">
      <w:pPr>
        <w:pStyle w:val="TOC5"/>
        <w:tabs>
          <w:tab w:val="right" w:leader="dot" w:pos="5030"/>
        </w:tabs>
        <w:rPr>
          <w:rFonts w:eastAsiaTheme="minorEastAsia"/>
          <w:noProof/>
          <w:sz w:val="22"/>
          <w:lang w:eastAsia="zh-CN"/>
        </w:rPr>
      </w:pPr>
      <w:hyperlink w:anchor="_Toc25583985" w:history="1">
        <w:r w:rsidR="001726A8" w:rsidRPr="00C72AF9">
          <w:rPr>
            <w:rStyle w:val="Hyperlink"/>
            <w:noProof/>
          </w:rPr>
          <w:t>Using the Online Services</w:t>
        </w:r>
        <w:r w:rsidR="001726A8">
          <w:rPr>
            <w:noProof/>
            <w:webHidden/>
          </w:rPr>
          <w:tab/>
        </w:r>
        <w:r w:rsidR="001726A8">
          <w:rPr>
            <w:noProof/>
            <w:webHidden/>
          </w:rPr>
          <w:fldChar w:fldCharType="begin"/>
        </w:r>
        <w:r w:rsidR="001726A8">
          <w:rPr>
            <w:noProof/>
            <w:webHidden/>
          </w:rPr>
          <w:instrText xml:space="preserve"> PAGEREF _Toc25583985 \h </w:instrText>
        </w:r>
        <w:r w:rsidR="001726A8">
          <w:rPr>
            <w:noProof/>
            <w:webHidden/>
          </w:rPr>
        </w:r>
        <w:r w:rsidR="001726A8">
          <w:rPr>
            <w:noProof/>
            <w:webHidden/>
          </w:rPr>
          <w:fldChar w:fldCharType="separate"/>
        </w:r>
        <w:r w:rsidR="001726A8">
          <w:rPr>
            <w:noProof/>
            <w:webHidden/>
          </w:rPr>
          <w:t>5</w:t>
        </w:r>
        <w:r w:rsidR="001726A8">
          <w:rPr>
            <w:noProof/>
            <w:webHidden/>
          </w:rPr>
          <w:fldChar w:fldCharType="end"/>
        </w:r>
      </w:hyperlink>
    </w:p>
    <w:p w14:paraId="036C785F" w14:textId="1F8728D4" w:rsidR="001726A8" w:rsidRDefault="00FD1CF2">
      <w:pPr>
        <w:pStyle w:val="TOC5"/>
        <w:tabs>
          <w:tab w:val="right" w:leader="dot" w:pos="5030"/>
        </w:tabs>
        <w:rPr>
          <w:rFonts w:eastAsiaTheme="minorEastAsia"/>
          <w:noProof/>
          <w:sz w:val="22"/>
          <w:lang w:eastAsia="zh-CN"/>
        </w:rPr>
      </w:pPr>
      <w:hyperlink w:anchor="_Toc25583986" w:history="1">
        <w:r w:rsidR="001726A8" w:rsidRPr="00C72AF9">
          <w:rPr>
            <w:rStyle w:val="Hyperlink"/>
            <w:noProof/>
          </w:rPr>
          <w:t>Use of Software with the Online Services</w:t>
        </w:r>
        <w:r w:rsidR="001726A8">
          <w:rPr>
            <w:noProof/>
            <w:webHidden/>
          </w:rPr>
          <w:tab/>
        </w:r>
        <w:r w:rsidR="001726A8">
          <w:rPr>
            <w:noProof/>
            <w:webHidden/>
          </w:rPr>
          <w:fldChar w:fldCharType="begin"/>
        </w:r>
        <w:r w:rsidR="001726A8">
          <w:rPr>
            <w:noProof/>
            <w:webHidden/>
          </w:rPr>
          <w:instrText xml:space="preserve"> PAGEREF _Toc25583986 \h </w:instrText>
        </w:r>
        <w:r w:rsidR="001726A8">
          <w:rPr>
            <w:noProof/>
            <w:webHidden/>
          </w:rPr>
        </w:r>
        <w:r w:rsidR="001726A8">
          <w:rPr>
            <w:noProof/>
            <w:webHidden/>
          </w:rPr>
          <w:fldChar w:fldCharType="separate"/>
        </w:r>
        <w:r w:rsidR="001726A8">
          <w:rPr>
            <w:noProof/>
            <w:webHidden/>
          </w:rPr>
          <w:t>5</w:t>
        </w:r>
        <w:r w:rsidR="001726A8">
          <w:rPr>
            <w:noProof/>
            <w:webHidden/>
          </w:rPr>
          <w:fldChar w:fldCharType="end"/>
        </w:r>
      </w:hyperlink>
    </w:p>
    <w:p w14:paraId="73527853" w14:textId="447C406A" w:rsidR="001726A8" w:rsidRDefault="00FD1CF2">
      <w:pPr>
        <w:pStyle w:val="TOC5"/>
        <w:tabs>
          <w:tab w:val="right" w:leader="dot" w:pos="5030"/>
        </w:tabs>
        <w:rPr>
          <w:rFonts w:eastAsiaTheme="minorEastAsia"/>
          <w:noProof/>
          <w:sz w:val="22"/>
          <w:lang w:eastAsia="zh-CN"/>
        </w:rPr>
      </w:pPr>
      <w:hyperlink w:anchor="_Toc25583987" w:history="1">
        <w:r w:rsidR="001726A8" w:rsidRPr="00C72AF9">
          <w:rPr>
            <w:rStyle w:val="Hyperlink"/>
            <w:noProof/>
          </w:rPr>
          <w:t>Technical Limitations</w:t>
        </w:r>
        <w:r w:rsidR="001726A8">
          <w:rPr>
            <w:noProof/>
            <w:webHidden/>
          </w:rPr>
          <w:tab/>
        </w:r>
        <w:r w:rsidR="001726A8">
          <w:rPr>
            <w:noProof/>
            <w:webHidden/>
          </w:rPr>
          <w:fldChar w:fldCharType="begin"/>
        </w:r>
        <w:r w:rsidR="001726A8">
          <w:rPr>
            <w:noProof/>
            <w:webHidden/>
          </w:rPr>
          <w:instrText xml:space="preserve"> PAGEREF _Toc25583987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3DDF019D" w14:textId="041BFA41" w:rsidR="001726A8" w:rsidRDefault="00FD1CF2">
      <w:pPr>
        <w:pStyle w:val="TOC5"/>
        <w:tabs>
          <w:tab w:val="right" w:leader="dot" w:pos="5030"/>
        </w:tabs>
        <w:rPr>
          <w:rFonts w:eastAsiaTheme="minorEastAsia"/>
          <w:noProof/>
          <w:sz w:val="22"/>
          <w:lang w:eastAsia="zh-CN"/>
        </w:rPr>
      </w:pPr>
      <w:hyperlink w:anchor="_Toc25583988" w:history="1">
        <w:r w:rsidR="001726A8" w:rsidRPr="00C72AF9">
          <w:rPr>
            <w:rStyle w:val="Hyperlink"/>
            <w:noProof/>
          </w:rPr>
          <w:t>Import/Export Services</w:t>
        </w:r>
        <w:r w:rsidR="001726A8">
          <w:rPr>
            <w:noProof/>
            <w:webHidden/>
          </w:rPr>
          <w:tab/>
        </w:r>
        <w:r w:rsidR="001726A8">
          <w:rPr>
            <w:noProof/>
            <w:webHidden/>
          </w:rPr>
          <w:fldChar w:fldCharType="begin"/>
        </w:r>
        <w:r w:rsidR="001726A8">
          <w:rPr>
            <w:noProof/>
            <w:webHidden/>
          </w:rPr>
          <w:instrText xml:space="preserve"> PAGEREF _Toc25583988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2F4DA872" w14:textId="7BF97E59" w:rsidR="001726A8" w:rsidRDefault="00FD1CF2">
      <w:pPr>
        <w:pStyle w:val="TOC5"/>
        <w:tabs>
          <w:tab w:val="right" w:leader="dot" w:pos="5030"/>
        </w:tabs>
        <w:rPr>
          <w:rFonts w:eastAsiaTheme="minorEastAsia"/>
          <w:noProof/>
          <w:sz w:val="22"/>
          <w:lang w:eastAsia="zh-CN"/>
        </w:rPr>
      </w:pPr>
      <w:hyperlink w:anchor="_Toc25583989" w:history="1">
        <w:r w:rsidR="001726A8" w:rsidRPr="00C72AF9">
          <w:rPr>
            <w:rStyle w:val="Hyperlink"/>
            <w:noProof/>
          </w:rPr>
          <w:t>Font Components</w:t>
        </w:r>
        <w:r w:rsidR="001726A8">
          <w:rPr>
            <w:noProof/>
            <w:webHidden/>
          </w:rPr>
          <w:tab/>
        </w:r>
        <w:r w:rsidR="001726A8">
          <w:rPr>
            <w:noProof/>
            <w:webHidden/>
          </w:rPr>
          <w:fldChar w:fldCharType="begin"/>
        </w:r>
        <w:r w:rsidR="001726A8">
          <w:rPr>
            <w:noProof/>
            <w:webHidden/>
          </w:rPr>
          <w:instrText xml:space="preserve"> PAGEREF _Toc25583989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5143F109" w14:textId="64794462" w:rsidR="001726A8" w:rsidRDefault="00FD1CF2">
      <w:pPr>
        <w:pStyle w:val="TOC5"/>
        <w:tabs>
          <w:tab w:val="right" w:leader="dot" w:pos="5030"/>
        </w:tabs>
        <w:rPr>
          <w:rFonts w:eastAsiaTheme="minorEastAsia"/>
          <w:noProof/>
          <w:sz w:val="22"/>
          <w:lang w:eastAsia="zh-CN"/>
        </w:rPr>
      </w:pPr>
      <w:hyperlink w:anchor="_Toc25583990" w:history="1">
        <w:r w:rsidR="001726A8" w:rsidRPr="00C72AF9">
          <w:rPr>
            <w:rStyle w:val="Hyperlink"/>
            <w:noProof/>
          </w:rPr>
          <w:t>Changes to and Availability of the Online Services</w:t>
        </w:r>
        <w:r w:rsidR="001726A8">
          <w:rPr>
            <w:noProof/>
            <w:webHidden/>
          </w:rPr>
          <w:tab/>
        </w:r>
        <w:r w:rsidR="001726A8">
          <w:rPr>
            <w:noProof/>
            <w:webHidden/>
          </w:rPr>
          <w:fldChar w:fldCharType="begin"/>
        </w:r>
        <w:r w:rsidR="001726A8">
          <w:rPr>
            <w:noProof/>
            <w:webHidden/>
          </w:rPr>
          <w:instrText xml:space="preserve"> PAGEREF _Toc25583990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3682B505" w14:textId="57591019" w:rsidR="001726A8" w:rsidRDefault="00FD1CF2">
      <w:pPr>
        <w:pStyle w:val="TOC5"/>
        <w:tabs>
          <w:tab w:val="right" w:leader="dot" w:pos="5030"/>
        </w:tabs>
        <w:rPr>
          <w:rFonts w:eastAsiaTheme="minorEastAsia"/>
          <w:noProof/>
          <w:sz w:val="22"/>
          <w:lang w:eastAsia="zh-CN"/>
        </w:rPr>
      </w:pPr>
      <w:hyperlink w:anchor="_Toc25583991" w:history="1">
        <w:r w:rsidR="001726A8" w:rsidRPr="00C72AF9">
          <w:rPr>
            <w:rStyle w:val="Hyperlink"/>
            <w:noProof/>
          </w:rPr>
          <w:t>State secret representation and warranty</w:t>
        </w:r>
        <w:r w:rsidR="001726A8" w:rsidRPr="00C72AF9">
          <w:rPr>
            <w:rStyle w:val="Hyperlink"/>
            <w:rFonts w:ascii="Segoe Pro" w:eastAsiaTheme="minorHAnsi" w:hAnsi="Segoe Pro" w:cs="Arial"/>
            <w:bCs/>
            <w:i/>
            <w:iCs/>
            <w:noProof/>
          </w:rPr>
          <w:t>.</w:t>
        </w:r>
        <w:r w:rsidR="001726A8">
          <w:rPr>
            <w:noProof/>
            <w:webHidden/>
          </w:rPr>
          <w:tab/>
        </w:r>
        <w:r w:rsidR="001726A8">
          <w:rPr>
            <w:noProof/>
            <w:webHidden/>
          </w:rPr>
          <w:fldChar w:fldCharType="begin"/>
        </w:r>
        <w:r w:rsidR="001726A8">
          <w:rPr>
            <w:noProof/>
            <w:webHidden/>
          </w:rPr>
          <w:instrText xml:space="preserve"> PAGEREF _Toc25583991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4F6756FC" w14:textId="70029E57" w:rsidR="001726A8" w:rsidRDefault="00FD1CF2">
      <w:pPr>
        <w:pStyle w:val="TOC5"/>
        <w:tabs>
          <w:tab w:val="right" w:leader="dot" w:pos="5030"/>
        </w:tabs>
        <w:rPr>
          <w:rFonts w:eastAsiaTheme="minorEastAsia"/>
          <w:noProof/>
          <w:sz w:val="22"/>
          <w:lang w:eastAsia="zh-CN"/>
        </w:rPr>
      </w:pPr>
      <w:hyperlink w:anchor="_Toc25583992" w:history="1">
        <w:r w:rsidR="001726A8" w:rsidRPr="00C72AF9">
          <w:rPr>
            <w:rStyle w:val="Hyperlink"/>
            <w:noProof/>
          </w:rPr>
          <w:t>Compliance with Laws</w:t>
        </w:r>
        <w:r w:rsidR="001726A8">
          <w:rPr>
            <w:noProof/>
            <w:webHidden/>
          </w:rPr>
          <w:tab/>
        </w:r>
        <w:r w:rsidR="001726A8">
          <w:rPr>
            <w:noProof/>
            <w:webHidden/>
          </w:rPr>
          <w:fldChar w:fldCharType="begin"/>
        </w:r>
        <w:r w:rsidR="001726A8">
          <w:rPr>
            <w:noProof/>
            <w:webHidden/>
          </w:rPr>
          <w:instrText xml:space="preserve"> PAGEREF _Toc25583992 \h </w:instrText>
        </w:r>
        <w:r w:rsidR="001726A8">
          <w:rPr>
            <w:noProof/>
            <w:webHidden/>
          </w:rPr>
        </w:r>
        <w:r w:rsidR="001726A8">
          <w:rPr>
            <w:noProof/>
            <w:webHidden/>
          </w:rPr>
          <w:fldChar w:fldCharType="separate"/>
        </w:r>
        <w:r w:rsidR="001726A8">
          <w:rPr>
            <w:noProof/>
            <w:webHidden/>
          </w:rPr>
          <w:t>6</w:t>
        </w:r>
        <w:r w:rsidR="001726A8">
          <w:rPr>
            <w:noProof/>
            <w:webHidden/>
          </w:rPr>
          <w:fldChar w:fldCharType="end"/>
        </w:r>
      </w:hyperlink>
    </w:p>
    <w:p w14:paraId="4A80D70A" w14:textId="5E5F6DC7" w:rsidR="001726A8" w:rsidRDefault="00FD1CF2">
      <w:pPr>
        <w:pStyle w:val="TOC5"/>
        <w:tabs>
          <w:tab w:val="right" w:leader="dot" w:pos="5030"/>
        </w:tabs>
        <w:rPr>
          <w:rFonts w:eastAsiaTheme="minorEastAsia"/>
          <w:noProof/>
          <w:sz w:val="22"/>
          <w:lang w:eastAsia="zh-CN"/>
        </w:rPr>
      </w:pPr>
      <w:hyperlink w:anchor="_Toc25583993" w:history="1">
        <w:r w:rsidR="001726A8" w:rsidRPr="00C72AF9">
          <w:rPr>
            <w:rStyle w:val="Hyperlink"/>
            <w:noProof/>
          </w:rPr>
          <w:t>Other</w:t>
        </w:r>
        <w:r w:rsidR="001726A8">
          <w:rPr>
            <w:noProof/>
            <w:webHidden/>
          </w:rPr>
          <w:tab/>
        </w:r>
        <w:r w:rsidR="001726A8">
          <w:rPr>
            <w:noProof/>
            <w:webHidden/>
          </w:rPr>
          <w:fldChar w:fldCharType="begin"/>
        </w:r>
        <w:r w:rsidR="001726A8">
          <w:rPr>
            <w:noProof/>
            <w:webHidden/>
          </w:rPr>
          <w:instrText xml:space="preserve"> PAGEREF _Toc25583993 \h </w:instrText>
        </w:r>
        <w:r w:rsidR="001726A8">
          <w:rPr>
            <w:noProof/>
            <w:webHidden/>
          </w:rPr>
        </w:r>
        <w:r w:rsidR="001726A8">
          <w:rPr>
            <w:noProof/>
            <w:webHidden/>
          </w:rPr>
          <w:fldChar w:fldCharType="separate"/>
        </w:r>
        <w:r w:rsidR="001726A8">
          <w:rPr>
            <w:noProof/>
            <w:webHidden/>
          </w:rPr>
          <w:t>7</w:t>
        </w:r>
        <w:r w:rsidR="001726A8">
          <w:rPr>
            <w:noProof/>
            <w:webHidden/>
          </w:rPr>
          <w:fldChar w:fldCharType="end"/>
        </w:r>
      </w:hyperlink>
    </w:p>
    <w:p w14:paraId="4BC67E23" w14:textId="13CCE01D" w:rsidR="001726A8" w:rsidRDefault="00FD1CF2">
      <w:pPr>
        <w:pStyle w:val="TOC1"/>
        <w:tabs>
          <w:tab w:val="right" w:leader="dot" w:pos="5030"/>
        </w:tabs>
        <w:rPr>
          <w:rFonts w:eastAsiaTheme="minorEastAsia"/>
          <w:b w:val="0"/>
          <w:caps w:val="0"/>
          <w:noProof/>
          <w:sz w:val="22"/>
          <w:lang w:eastAsia="zh-CN"/>
        </w:rPr>
      </w:pPr>
      <w:hyperlink w:anchor="_Toc25583994" w:history="1">
        <w:r w:rsidR="001726A8" w:rsidRPr="00C72AF9">
          <w:rPr>
            <w:rStyle w:val="Hyperlink"/>
            <w:noProof/>
          </w:rPr>
          <w:t>Data Protection Terms</w:t>
        </w:r>
        <w:r w:rsidR="001726A8">
          <w:rPr>
            <w:noProof/>
            <w:webHidden/>
          </w:rPr>
          <w:tab/>
        </w:r>
        <w:r w:rsidR="001726A8">
          <w:rPr>
            <w:noProof/>
            <w:webHidden/>
          </w:rPr>
          <w:fldChar w:fldCharType="begin"/>
        </w:r>
        <w:r w:rsidR="001726A8">
          <w:rPr>
            <w:noProof/>
            <w:webHidden/>
          </w:rPr>
          <w:instrText xml:space="preserve"> PAGEREF _Toc25583994 \h </w:instrText>
        </w:r>
        <w:r w:rsidR="001726A8">
          <w:rPr>
            <w:noProof/>
            <w:webHidden/>
          </w:rPr>
        </w:r>
        <w:r w:rsidR="001726A8">
          <w:rPr>
            <w:noProof/>
            <w:webHidden/>
          </w:rPr>
          <w:fldChar w:fldCharType="separate"/>
        </w:r>
        <w:r w:rsidR="001726A8">
          <w:rPr>
            <w:noProof/>
            <w:webHidden/>
          </w:rPr>
          <w:t>8</w:t>
        </w:r>
        <w:r w:rsidR="001726A8">
          <w:rPr>
            <w:noProof/>
            <w:webHidden/>
          </w:rPr>
          <w:fldChar w:fldCharType="end"/>
        </w:r>
      </w:hyperlink>
    </w:p>
    <w:p w14:paraId="18E1E6F3" w14:textId="3B0C30C5" w:rsidR="001726A8" w:rsidRDefault="00FD1CF2">
      <w:pPr>
        <w:pStyle w:val="TOC5"/>
        <w:tabs>
          <w:tab w:val="right" w:leader="dot" w:pos="5030"/>
        </w:tabs>
        <w:rPr>
          <w:rFonts w:eastAsiaTheme="minorEastAsia"/>
          <w:noProof/>
          <w:sz w:val="22"/>
          <w:lang w:eastAsia="zh-CN"/>
        </w:rPr>
      </w:pPr>
      <w:hyperlink w:anchor="_Toc25583995" w:history="1">
        <w:r w:rsidR="001726A8" w:rsidRPr="00C72AF9">
          <w:rPr>
            <w:rStyle w:val="Hyperlink"/>
            <w:noProof/>
          </w:rPr>
          <w:t>Scope</w:t>
        </w:r>
        <w:r w:rsidR="001726A8">
          <w:rPr>
            <w:noProof/>
            <w:webHidden/>
          </w:rPr>
          <w:tab/>
        </w:r>
        <w:r w:rsidR="001726A8">
          <w:rPr>
            <w:noProof/>
            <w:webHidden/>
          </w:rPr>
          <w:fldChar w:fldCharType="begin"/>
        </w:r>
        <w:r w:rsidR="001726A8">
          <w:rPr>
            <w:noProof/>
            <w:webHidden/>
          </w:rPr>
          <w:instrText xml:space="preserve"> PAGEREF _Toc25583995 \h </w:instrText>
        </w:r>
        <w:r w:rsidR="001726A8">
          <w:rPr>
            <w:noProof/>
            <w:webHidden/>
          </w:rPr>
        </w:r>
        <w:r w:rsidR="001726A8">
          <w:rPr>
            <w:noProof/>
            <w:webHidden/>
          </w:rPr>
          <w:fldChar w:fldCharType="separate"/>
        </w:r>
        <w:r w:rsidR="001726A8">
          <w:rPr>
            <w:noProof/>
            <w:webHidden/>
          </w:rPr>
          <w:t>8</w:t>
        </w:r>
        <w:r w:rsidR="001726A8">
          <w:rPr>
            <w:noProof/>
            <w:webHidden/>
          </w:rPr>
          <w:fldChar w:fldCharType="end"/>
        </w:r>
      </w:hyperlink>
    </w:p>
    <w:p w14:paraId="2D65B0C6" w14:textId="3F42CC25" w:rsidR="001726A8" w:rsidRDefault="00FD1CF2">
      <w:pPr>
        <w:pStyle w:val="TOC5"/>
        <w:tabs>
          <w:tab w:val="right" w:leader="dot" w:pos="5030"/>
        </w:tabs>
        <w:rPr>
          <w:rFonts w:eastAsiaTheme="minorEastAsia"/>
          <w:noProof/>
          <w:sz w:val="22"/>
          <w:lang w:eastAsia="zh-CN"/>
        </w:rPr>
      </w:pPr>
      <w:hyperlink w:anchor="_Toc25583996" w:history="1">
        <w:r w:rsidR="001726A8" w:rsidRPr="00C72AF9">
          <w:rPr>
            <w:rStyle w:val="Hyperlink"/>
            <w:noProof/>
          </w:rPr>
          <w:t>Processing of Customer Data; Ownership</w:t>
        </w:r>
        <w:r w:rsidR="001726A8">
          <w:rPr>
            <w:noProof/>
            <w:webHidden/>
          </w:rPr>
          <w:tab/>
        </w:r>
        <w:r w:rsidR="001726A8">
          <w:rPr>
            <w:noProof/>
            <w:webHidden/>
          </w:rPr>
          <w:fldChar w:fldCharType="begin"/>
        </w:r>
        <w:r w:rsidR="001726A8">
          <w:rPr>
            <w:noProof/>
            <w:webHidden/>
          </w:rPr>
          <w:instrText xml:space="preserve"> PAGEREF _Toc25583996 \h </w:instrText>
        </w:r>
        <w:r w:rsidR="001726A8">
          <w:rPr>
            <w:noProof/>
            <w:webHidden/>
          </w:rPr>
        </w:r>
        <w:r w:rsidR="001726A8">
          <w:rPr>
            <w:noProof/>
            <w:webHidden/>
          </w:rPr>
          <w:fldChar w:fldCharType="separate"/>
        </w:r>
        <w:r w:rsidR="001726A8">
          <w:rPr>
            <w:noProof/>
            <w:webHidden/>
          </w:rPr>
          <w:t>8</w:t>
        </w:r>
        <w:r w:rsidR="001726A8">
          <w:rPr>
            <w:noProof/>
            <w:webHidden/>
          </w:rPr>
          <w:fldChar w:fldCharType="end"/>
        </w:r>
      </w:hyperlink>
    </w:p>
    <w:p w14:paraId="313B741F" w14:textId="443E8997" w:rsidR="001726A8" w:rsidRDefault="00FD1CF2">
      <w:pPr>
        <w:pStyle w:val="TOC5"/>
        <w:tabs>
          <w:tab w:val="right" w:leader="dot" w:pos="5030"/>
        </w:tabs>
        <w:rPr>
          <w:rFonts w:eastAsiaTheme="minorEastAsia"/>
          <w:noProof/>
          <w:sz w:val="22"/>
          <w:lang w:eastAsia="zh-CN"/>
        </w:rPr>
      </w:pPr>
      <w:hyperlink w:anchor="_Toc25583997" w:history="1">
        <w:r w:rsidR="001726A8" w:rsidRPr="00C72AF9">
          <w:rPr>
            <w:rStyle w:val="Hyperlink"/>
            <w:noProof/>
          </w:rPr>
          <w:t>Disclosure of Customer Data and Personal Data</w:t>
        </w:r>
        <w:r w:rsidR="001726A8">
          <w:rPr>
            <w:noProof/>
            <w:webHidden/>
          </w:rPr>
          <w:tab/>
        </w:r>
        <w:r w:rsidR="001726A8">
          <w:rPr>
            <w:noProof/>
            <w:webHidden/>
          </w:rPr>
          <w:fldChar w:fldCharType="begin"/>
        </w:r>
        <w:r w:rsidR="001726A8">
          <w:rPr>
            <w:noProof/>
            <w:webHidden/>
          </w:rPr>
          <w:instrText xml:space="preserve"> PAGEREF _Toc25583997 \h </w:instrText>
        </w:r>
        <w:r w:rsidR="001726A8">
          <w:rPr>
            <w:noProof/>
            <w:webHidden/>
          </w:rPr>
        </w:r>
        <w:r w:rsidR="001726A8">
          <w:rPr>
            <w:noProof/>
            <w:webHidden/>
          </w:rPr>
          <w:fldChar w:fldCharType="separate"/>
        </w:r>
        <w:r w:rsidR="001726A8">
          <w:rPr>
            <w:noProof/>
            <w:webHidden/>
          </w:rPr>
          <w:t>8</w:t>
        </w:r>
        <w:r w:rsidR="001726A8">
          <w:rPr>
            <w:noProof/>
            <w:webHidden/>
          </w:rPr>
          <w:fldChar w:fldCharType="end"/>
        </w:r>
      </w:hyperlink>
    </w:p>
    <w:p w14:paraId="50E29B15" w14:textId="2B4796DB" w:rsidR="001726A8" w:rsidRDefault="00FD1CF2">
      <w:pPr>
        <w:pStyle w:val="TOC5"/>
        <w:tabs>
          <w:tab w:val="right" w:leader="dot" w:pos="5030"/>
        </w:tabs>
        <w:rPr>
          <w:rFonts w:eastAsiaTheme="minorEastAsia"/>
          <w:noProof/>
          <w:sz w:val="22"/>
          <w:lang w:eastAsia="zh-CN"/>
        </w:rPr>
      </w:pPr>
      <w:hyperlink w:anchor="_Toc25583998" w:history="1">
        <w:r w:rsidR="001726A8" w:rsidRPr="00C72AF9">
          <w:rPr>
            <w:rStyle w:val="Hyperlink"/>
            <w:noProof/>
          </w:rPr>
          <w:t>Processing of Personal Data; GDPR</w:t>
        </w:r>
        <w:r w:rsidR="001726A8">
          <w:rPr>
            <w:noProof/>
            <w:webHidden/>
          </w:rPr>
          <w:tab/>
        </w:r>
        <w:r w:rsidR="001726A8">
          <w:rPr>
            <w:noProof/>
            <w:webHidden/>
          </w:rPr>
          <w:fldChar w:fldCharType="begin"/>
        </w:r>
        <w:r w:rsidR="001726A8">
          <w:rPr>
            <w:noProof/>
            <w:webHidden/>
          </w:rPr>
          <w:instrText xml:space="preserve"> PAGEREF _Toc25583998 \h </w:instrText>
        </w:r>
        <w:r w:rsidR="001726A8">
          <w:rPr>
            <w:noProof/>
            <w:webHidden/>
          </w:rPr>
        </w:r>
        <w:r w:rsidR="001726A8">
          <w:rPr>
            <w:noProof/>
            <w:webHidden/>
          </w:rPr>
          <w:fldChar w:fldCharType="separate"/>
        </w:r>
        <w:r w:rsidR="001726A8">
          <w:rPr>
            <w:noProof/>
            <w:webHidden/>
          </w:rPr>
          <w:t>8</w:t>
        </w:r>
        <w:r w:rsidR="001726A8">
          <w:rPr>
            <w:noProof/>
            <w:webHidden/>
          </w:rPr>
          <w:fldChar w:fldCharType="end"/>
        </w:r>
      </w:hyperlink>
    </w:p>
    <w:p w14:paraId="20645BF5" w14:textId="797957F3" w:rsidR="001726A8" w:rsidRDefault="00FD1CF2">
      <w:pPr>
        <w:pStyle w:val="TOC5"/>
        <w:tabs>
          <w:tab w:val="right" w:leader="dot" w:pos="5030"/>
        </w:tabs>
        <w:rPr>
          <w:rFonts w:eastAsiaTheme="minorEastAsia"/>
          <w:noProof/>
          <w:sz w:val="22"/>
          <w:lang w:eastAsia="zh-CN"/>
        </w:rPr>
      </w:pPr>
      <w:hyperlink w:anchor="_Toc25583999" w:history="1">
        <w:r w:rsidR="001726A8" w:rsidRPr="00C72AF9">
          <w:rPr>
            <w:rStyle w:val="Hyperlink"/>
            <w:noProof/>
          </w:rPr>
          <w:t>Data Security</w:t>
        </w:r>
        <w:r w:rsidR="001726A8">
          <w:rPr>
            <w:noProof/>
            <w:webHidden/>
          </w:rPr>
          <w:tab/>
        </w:r>
        <w:r w:rsidR="001726A8">
          <w:rPr>
            <w:noProof/>
            <w:webHidden/>
          </w:rPr>
          <w:fldChar w:fldCharType="begin"/>
        </w:r>
        <w:r w:rsidR="001726A8">
          <w:rPr>
            <w:noProof/>
            <w:webHidden/>
          </w:rPr>
          <w:instrText xml:space="preserve"> PAGEREF _Toc25583999 \h </w:instrText>
        </w:r>
        <w:r w:rsidR="001726A8">
          <w:rPr>
            <w:noProof/>
            <w:webHidden/>
          </w:rPr>
        </w:r>
        <w:r w:rsidR="001726A8">
          <w:rPr>
            <w:noProof/>
            <w:webHidden/>
          </w:rPr>
          <w:fldChar w:fldCharType="separate"/>
        </w:r>
        <w:r w:rsidR="001726A8">
          <w:rPr>
            <w:noProof/>
            <w:webHidden/>
          </w:rPr>
          <w:t>9</w:t>
        </w:r>
        <w:r w:rsidR="001726A8">
          <w:rPr>
            <w:noProof/>
            <w:webHidden/>
          </w:rPr>
          <w:fldChar w:fldCharType="end"/>
        </w:r>
      </w:hyperlink>
    </w:p>
    <w:p w14:paraId="45288BFD" w14:textId="5859084B" w:rsidR="001726A8" w:rsidRDefault="00FD1CF2">
      <w:pPr>
        <w:pStyle w:val="TOC5"/>
        <w:tabs>
          <w:tab w:val="right" w:leader="dot" w:pos="5030"/>
        </w:tabs>
        <w:rPr>
          <w:rFonts w:eastAsiaTheme="minorEastAsia"/>
          <w:noProof/>
          <w:sz w:val="22"/>
          <w:lang w:eastAsia="zh-CN"/>
        </w:rPr>
      </w:pPr>
      <w:hyperlink w:anchor="_Toc25584000" w:history="1">
        <w:r w:rsidR="001726A8" w:rsidRPr="00C72AF9">
          <w:rPr>
            <w:rStyle w:val="Hyperlink"/>
            <w:noProof/>
          </w:rPr>
          <w:t>Security Incident Notification</w:t>
        </w:r>
        <w:r w:rsidR="001726A8">
          <w:rPr>
            <w:noProof/>
            <w:webHidden/>
          </w:rPr>
          <w:tab/>
        </w:r>
        <w:r w:rsidR="001726A8">
          <w:rPr>
            <w:noProof/>
            <w:webHidden/>
          </w:rPr>
          <w:fldChar w:fldCharType="begin"/>
        </w:r>
        <w:r w:rsidR="001726A8">
          <w:rPr>
            <w:noProof/>
            <w:webHidden/>
          </w:rPr>
          <w:instrText xml:space="preserve"> PAGEREF _Toc25584000 \h </w:instrText>
        </w:r>
        <w:r w:rsidR="001726A8">
          <w:rPr>
            <w:noProof/>
            <w:webHidden/>
          </w:rPr>
        </w:r>
        <w:r w:rsidR="001726A8">
          <w:rPr>
            <w:noProof/>
            <w:webHidden/>
          </w:rPr>
          <w:fldChar w:fldCharType="separate"/>
        </w:r>
        <w:r w:rsidR="001726A8">
          <w:rPr>
            <w:noProof/>
            <w:webHidden/>
          </w:rPr>
          <w:t>10</w:t>
        </w:r>
        <w:r w:rsidR="001726A8">
          <w:rPr>
            <w:noProof/>
            <w:webHidden/>
          </w:rPr>
          <w:fldChar w:fldCharType="end"/>
        </w:r>
      </w:hyperlink>
    </w:p>
    <w:p w14:paraId="3F8F356A" w14:textId="66B0656C" w:rsidR="001726A8" w:rsidRDefault="00FD1CF2">
      <w:pPr>
        <w:pStyle w:val="TOC5"/>
        <w:tabs>
          <w:tab w:val="right" w:leader="dot" w:pos="5030"/>
        </w:tabs>
        <w:rPr>
          <w:rFonts w:eastAsiaTheme="minorEastAsia"/>
          <w:noProof/>
          <w:sz w:val="22"/>
          <w:lang w:eastAsia="zh-CN"/>
        </w:rPr>
      </w:pPr>
      <w:hyperlink w:anchor="_Toc25584001" w:history="1">
        <w:r w:rsidR="001726A8" w:rsidRPr="00C72AF9">
          <w:rPr>
            <w:rStyle w:val="Hyperlink"/>
            <w:noProof/>
          </w:rPr>
          <w:t>Data Location</w:t>
        </w:r>
        <w:r w:rsidR="001726A8">
          <w:rPr>
            <w:noProof/>
            <w:webHidden/>
          </w:rPr>
          <w:tab/>
        </w:r>
        <w:r w:rsidR="001726A8">
          <w:rPr>
            <w:noProof/>
            <w:webHidden/>
          </w:rPr>
          <w:fldChar w:fldCharType="begin"/>
        </w:r>
        <w:r w:rsidR="001726A8">
          <w:rPr>
            <w:noProof/>
            <w:webHidden/>
          </w:rPr>
          <w:instrText xml:space="preserve"> PAGEREF _Toc25584001 \h </w:instrText>
        </w:r>
        <w:r w:rsidR="001726A8">
          <w:rPr>
            <w:noProof/>
            <w:webHidden/>
          </w:rPr>
        </w:r>
        <w:r w:rsidR="001726A8">
          <w:rPr>
            <w:noProof/>
            <w:webHidden/>
          </w:rPr>
          <w:fldChar w:fldCharType="separate"/>
        </w:r>
        <w:r w:rsidR="001726A8">
          <w:rPr>
            <w:noProof/>
            <w:webHidden/>
          </w:rPr>
          <w:t>10</w:t>
        </w:r>
        <w:r w:rsidR="001726A8">
          <w:rPr>
            <w:noProof/>
            <w:webHidden/>
          </w:rPr>
          <w:fldChar w:fldCharType="end"/>
        </w:r>
      </w:hyperlink>
    </w:p>
    <w:p w14:paraId="7400E870" w14:textId="405DCD80" w:rsidR="001726A8" w:rsidRDefault="00FD1CF2">
      <w:pPr>
        <w:pStyle w:val="TOC5"/>
        <w:tabs>
          <w:tab w:val="right" w:leader="dot" w:pos="5030"/>
        </w:tabs>
        <w:rPr>
          <w:rFonts w:eastAsiaTheme="minorEastAsia"/>
          <w:noProof/>
          <w:sz w:val="22"/>
          <w:lang w:eastAsia="zh-CN"/>
        </w:rPr>
      </w:pPr>
      <w:hyperlink w:anchor="_Toc25584002" w:history="1">
        <w:r w:rsidR="001726A8" w:rsidRPr="00C72AF9">
          <w:rPr>
            <w:rStyle w:val="Hyperlink"/>
            <w:noProof/>
          </w:rPr>
          <w:t>Data Retention and Deletion</w:t>
        </w:r>
        <w:r w:rsidR="001726A8">
          <w:rPr>
            <w:noProof/>
            <w:webHidden/>
          </w:rPr>
          <w:tab/>
        </w:r>
        <w:r w:rsidR="001726A8">
          <w:rPr>
            <w:noProof/>
            <w:webHidden/>
          </w:rPr>
          <w:fldChar w:fldCharType="begin"/>
        </w:r>
        <w:r w:rsidR="001726A8">
          <w:rPr>
            <w:noProof/>
            <w:webHidden/>
          </w:rPr>
          <w:instrText xml:space="preserve"> PAGEREF _Toc25584002 \h </w:instrText>
        </w:r>
        <w:r w:rsidR="001726A8">
          <w:rPr>
            <w:noProof/>
            <w:webHidden/>
          </w:rPr>
        </w:r>
        <w:r w:rsidR="001726A8">
          <w:rPr>
            <w:noProof/>
            <w:webHidden/>
          </w:rPr>
          <w:fldChar w:fldCharType="separate"/>
        </w:r>
        <w:r w:rsidR="001726A8">
          <w:rPr>
            <w:noProof/>
            <w:webHidden/>
          </w:rPr>
          <w:t>10</w:t>
        </w:r>
        <w:r w:rsidR="001726A8">
          <w:rPr>
            <w:noProof/>
            <w:webHidden/>
          </w:rPr>
          <w:fldChar w:fldCharType="end"/>
        </w:r>
      </w:hyperlink>
    </w:p>
    <w:p w14:paraId="61E21516" w14:textId="14535DE9" w:rsidR="001726A8" w:rsidRDefault="00FD1CF2">
      <w:pPr>
        <w:pStyle w:val="TOC5"/>
        <w:tabs>
          <w:tab w:val="right" w:leader="dot" w:pos="5030"/>
        </w:tabs>
        <w:rPr>
          <w:rFonts w:eastAsiaTheme="minorEastAsia"/>
          <w:noProof/>
          <w:sz w:val="22"/>
          <w:lang w:eastAsia="zh-CN"/>
        </w:rPr>
      </w:pPr>
      <w:hyperlink w:anchor="_Toc25584003" w:history="1">
        <w:r w:rsidR="001726A8" w:rsidRPr="00C72AF9">
          <w:rPr>
            <w:rStyle w:val="Hyperlink"/>
            <w:noProof/>
          </w:rPr>
          <w:t>Processor Confidentiality Commitment</w:t>
        </w:r>
        <w:r w:rsidR="001726A8">
          <w:rPr>
            <w:noProof/>
            <w:webHidden/>
          </w:rPr>
          <w:tab/>
        </w:r>
        <w:r w:rsidR="001726A8">
          <w:rPr>
            <w:noProof/>
            <w:webHidden/>
          </w:rPr>
          <w:fldChar w:fldCharType="begin"/>
        </w:r>
        <w:r w:rsidR="001726A8">
          <w:rPr>
            <w:noProof/>
            <w:webHidden/>
          </w:rPr>
          <w:instrText xml:space="preserve"> PAGEREF _Toc25584003 \h </w:instrText>
        </w:r>
        <w:r w:rsidR="001726A8">
          <w:rPr>
            <w:noProof/>
            <w:webHidden/>
          </w:rPr>
        </w:r>
        <w:r w:rsidR="001726A8">
          <w:rPr>
            <w:noProof/>
            <w:webHidden/>
          </w:rPr>
          <w:fldChar w:fldCharType="separate"/>
        </w:r>
        <w:r w:rsidR="001726A8">
          <w:rPr>
            <w:noProof/>
            <w:webHidden/>
          </w:rPr>
          <w:t>10</w:t>
        </w:r>
        <w:r w:rsidR="001726A8">
          <w:rPr>
            <w:noProof/>
            <w:webHidden/>
          </w:rPr>
          <w:fldChar w:fldCharType="end"/>
        </w:r>
      </w:hyperlink>
    </w:p>
    <w:p w14:paraId="394FC555" w14:textId="2A44C76E" w:rsidR="001726A8" w:rsidRDefault="00FD1CF2">
      <w:pPr>
        <w:pStyle w:val="TOC5"/>
        <w:tabs>
          <w:tab w:val="right" w:leader="dot" w:pos="5030"/>
        </w:tabs>
        <w:rPr>
          <w:rFonts w:eastAsiaTheme="minorEastAsia"/>
          <w:noProof/>
          <w:sz w:val="22"/>
          <w:lang w:eastAsia="zh-CN"/>
        </w:rPr>
      </w:pPr>
      <w:hyperlink w:anchor="_Toc25584004" w:history="1">
        <w:r w:rsidR="001726A8" w:rsidRPr="00C72AF9">
          <w:rPr>
            <w:rStyle w:val="Hyperlink"/>
            <w:noProof/>
          </w:rPr>
          <w:t>Notice and Controls on use of Subprocessors</w:t>
        </w:r>
        <w:r w:rsidR="001726A8">
          <w:rPr>
            <w:noProof/>
            <w:webHidden/>
          </w:rPr>
          <w:tab/>
        </w:r>
        <w:r w:rsidR="001726A8">
          <w:rPr>
            <w:noProof/>
            <w:webHidden/>
          </w:rPr>
          <w:fldChar w:fldCharType="begin"/>
        </w:r>
        <w:r w:rsidR="001726A8">
          <w:rPr>
            <w:noProof/>
            <w:webHidden/>
          </w:rPr>
          <w:instrText xml:space="preserve"> PAGEREF _Toc25584004 \h </w:instrText>
        </w:r>
        <w:r w:rsidR="001726A8">
          <w:rPr>
            <w:noProof/>
            <w:webHidden/>
          </w:rPr>
        </w:r>
        <w:r w:rsidR="001726A8">
          <w:rPr>
            <w:noProof/>
            <w:webHidden/>
          </w:rPr>
          <w:fldChar w:fldCharType="separate"/>
        </w:r>
        <w:r w:rsidR="001726A8">
          <w:rPr>
            <w:noProof/>
            <w:webHidden/>
          </w:rPr>
          <w:t>10</w:t>
        </w:r>
        <w:r w:rsidR="001726A8">
          <w:rPr>
            <w:noProof/>
            <w:webHidden/>
          </w:rPr>
          <w:fldChar w:fldCharType="end"/>
        </w:r>
      </w:hyperlink>
    </w:p>
    <w:p w14:paraId="44522DA3" w14:textId="3AB695EF" w:rsidR="001726A8" w:rsidRDefault="00FD1CF2">
      <w:pPr>
        <w:pStyle w:val="TOC5"/>
        <w:tabs>
          <w:tab w:val="right" w:leader="dot" w:pos="5030"/>
        </w:tabs>
        <w:rPr>
          <w:rFonts w:eastAsiaTheme="minorEastAsia"/>
          <w:noProof/>
          <w:sz w:val="22"/>
          <w:lang w:eastAsia="zh-CN"/>
        </w:rPr>
      </w:pPr>
      <w:hyperlink w:anchor="_Toc25584005" w:history="1">
        <w:r w:rsidR="001726A8" w:rsidRPr="00C72AF9">
          <w:rPr>
            <w:rStyle w:val="Hyperlink"/>
            <w:noProof/>
          </w:rPr>
          <w:t>How to Contact 21Vianet</w:t>
        </w:r>
        <w:r w:rsidR="001726A8">
          <w:rPr>
            <w:noProof/>
            <w:webHidden/>
          </w:rPr>
          <w:tab/>
        </w:r>
        <w:r w:rsidR="001726A8">
          <w:rPr>
            <w:noProof/>
            <w:webHidden/>
          </w:rPr>
          <w:fldChar w:fldCharType="begin"/>
        </w:r>
        <w:r w:rsidR="001726A8">
          <w:rPr>
            <w:noProof/>
            <w:webHidden/>
          </w:rPr>
          <w:instrText xml:space="preserve"> PAGEREF _Toc25584005 \h </w:instrText>
        </w:r>
        <w:r w:rsidR="001726A8">
          <w:rPr>
            <w:noProof/>
            <w:webHidden/>
          </w:rPr>
        </w:r>
        <w:r w:rsidR="001726A8">
          <w:rPr>
            <w:noProof/>
            <w:webHidden/>
          </w:rPr>
          <w:fldChar w:fldCharType="separate"/>
        </w:r>
        <w:r w:rsidR="001726A8">
          <w:rPr>
            <w:noProof/>
            <w:webHidden/>
          </w:rPr>
          <w:t>11</w:t>
        </w:r>
        <w:r w:rsidR="001726A8">
          <w:rPr>
            <w:noProof/>
            <w:webHidden/>
          </w:rPr>
          <w:fldChar w:fldCharType="end"/>
        </w:r>
      </w:hyperlink>
    </w:p>
    <w:p w14:paraId="1FADA54D" w14:textId="182B5C73" w:rsidR="001726A8" w:rsidRDefault="00FD1CF2">
      <w:pPr>
        <w:pStyle w:val="TOC1"/>
        <w:tabs>
          <w:tab w:val="right" w:leader="dot" w:pos="5030"/>
        </w:tabs>
        <w:rPr>
          <w:rFonts w:eastAsiaTheme="minorEastAsia"/>
          <w:b w:val="0"/>
          <w:caps w:val="0"/>
          <w:noProof/>
          <w:sz w:val="22"/>
          <w:lang w:eastAsia="zh-CN"/>
        </w:rPr>
      </w:pPr>
      <w:hyperlink w:anchor="_Toc25584006" w:history="1">
        <w:r w:rsidR="001726A8" w:rsidRPr="00C72AF9">
          <w:rPr>
            <w:rStyle w:val="Hyperlink"/>
            <w:noProof/>
          </w:rPr>
          <w:t>Appendix A – Core Online Services</w:t>
        </w:r>
        <w:r w:rsidR="001726A8">
          <w:rPr>
            <w:noProof/>
            <w:webHidden/>
          </w:rPr>
          <w:tab/>
        </w:r>
        <w:r w:rsidR="001726A8">
          <w:rPr>
            <w:noProof/>
            <w:webHidden/>
          </w:rPr>
          <w:fldChar w:fldCharType="begin"/>
        </w:r>
        <w:r w:rsidR="001726A8">
          <w:rPr>
            <w:noProof/>
            <w:webHidden/>
          </w:rPr>
          <w:instrText xml:space="preserve"> PAGEREF _Toc25584006 \h </w:instrText>
        </w:r>
        <w:r w:rsidR="001726A8">
          <w:rPr>
            <w:noProof/>
            <w:webHidden/>
          </w:rPr>
        </w:r>
        <w:r w:rsidR="001726A8">
          <w:rPr>
            <w:noProof/>
            <w:webHidden/>
          </w:rPr>
          <w:fldChar w:fldCharType="separate"/>
        </w:r>
        <w:r w:rsidR="001726A8">
          <w:rPr>
            <w:noProof/>
            <w:webHidden/>
          </w:rPr>
          <w:t>12</w:t>
        </w:r>
        <w:r w:rsidR="001726A8">
          <w:rPr>
            <w:noProof/>
            <w:webHidden/>
          </w:rPr>
          <w:fldChar w:fldCharType="end"/>
        </w:r>
      </w:hyperlink>
    </w:p>
    <w:p w14:paraId="63AB41B4" w14:textId="7EE60E30" w:rsidR="001726A8" w:rsidRDefault="00FD1CF2">
      <w:pPr>
        <w:pStyle w:val="TOC1"/>
        <w:tabs>
          <w:tab w:val="right" w:leader="dot" w:pos="5030"/>
        </w:tabs>
        <w:rPr>
          <w:rFonts w:eastAsiaTheme="minorEastAsia"/>
          <w:b w:val="0"/>
          <w:caps w:val="0"/>
          <w:noProof/>
          <w:sz w:val="22"/>
          <w:lang w:eastAsia="zh-CN"/>
        </w:rPr>
      </w:pPr>
      <w:hyperlink w:anchor="_Toc25584007" w:history="1">
        <w:r w:rsidR="001726A8" w:rsidRPr="00C72AF9">
          <w:rPr>
            <w:rStyle w:val="Hyperlink"/>
            <w:noProof/>
          </w:rPr>
          <w:t>Appendix B – Security Measures</w:t>
        </w:r>
        <w:r w:rsidR="001726A8">
          <w:rPr>
            <w:noProof/>
            <w:webHidden/>
          </w:rPr>
          <w:tab/>
        </w:r>
        <w:r w:rsidR="001726A8">
          <w:rPr>
            <w:noProof/>
            <w:webHidden/>
          </w:rPr>
          <w:fldChar w:fldCharType="begin"/>
        </w:r>
        <w:r w:rsidR="001726A8">
          <w:rPr>
            <w:noProof/>
            <w:webHidden/>
          </w:rPr>
          <w:instrText xml:space="preserve"> PAGEREF _Toc25584007 \h </w:instrText>
        </w:r>
        <w:r w:rsidR="001726A8">
          <w:rPr>
            <w:noProof/>
            <w:webHidden/>
          </w:rPr>
        </w:r>
        <w:r w:rsidR="001726A8">
          <w:rPr>
            <w:noProof/>
            <w:webHidden/>
          </w:rPr>
          <w:fldChar w:fldCharType="separate"/>
        </w:r>
        <w:r w:rsidR="001726A8">
          <w:rPr>
            <w:noProof/>
            <w:webHidden/>
          </w:rPr>
          <w:t>12</w:t>
        </w:r>
        <w:r w:rsidR="001726A8">
          <w:rPr>
            <w:noProof/>
            <w:webHidden/>
          </w:rPr>
          <w:fldChar w:fldCharType="end"/>
        </w:r>
      </w:hyperlink>
    </w:p>
    <w:p w14:paraId="3C048237" w14:textId="4A58B186" w:rsidR="001726A8" w:rsidRDefault="00FD1CF2">
      <w:pPr>
        <w:pStyle w:val="TOC1"/>
        <w:tabs>
          <w:tab w:val="right" w:leader="dot" w:pos="5030"/>
        </w:tabs>
        <w:rPr>
          <w:rFonts w:eastAsiaTheme="minorEastAsia"/>
          <w:b w:val="0"/>
          <w:caps w:val="0"/>
          <w:noProof/>
          <w:sz w:val="22"/>
          <w:lang w:eastAsia="zh-CN"/>
        </w:rPr>
      </w:pPr>
      <w:hyperlink w:anchor="_Toc25584008" w:history="1">
        <w:r w:rsidR="001726A8" w:rsidRPr="00C72AF9">
          <w:rPr>
            <w:rStyle w:val="Hyperlink"/>
            <w:noProof/>
          </w:rPr>
          <w:t>Online Service Specific Terms</w:t>
        </w:r>
        <w:r w:rsidR="001726A8">
          <w:rPr>
            <w:noProof/>
            <w:webHidden/>
          </w:rPr>
          <w:tab/>
        </w:r>
        <w:r w:rsidR="001726A8">
          <w:rPr>
            <w:noProof/>
            <w:webHidden/>
          </w:rPr>
          <w:fldChar w:fldCharType="begin"/>
        </w:r>
        <w:r w:rsidR="001726A8">
          <w:rPr>
            <w:noProof/>
            <w:webHidden/>
          </w:rPr>
          <w:instrText xml:space="preserve"> PAGEREF _Toc25584008 \h </w:instrText>
        </w:r>
        <w:r w:rsidR="001726A8">
          <w:rPr>
            <w:noProof/>
            <w:webHidden/>
          </w:rPr>
        </w:r>
        <w:r w:rsidR="001726A8">
          <w:rPr>
            <w:noProof/>
            <w:webHidden/>
          </w:rPr>
          <w:fldChar w:fldCharType="separate"/>
        </w:r>
        <w:r w:rsidR="001726A8">
          <w:rPr>
            <w:noProof/>
            <w:webHidden/>
          </w:rPr>
          <w:t>15</w:t>
        </w:r>
        <w:r w:rsidR="001726A8">
          <w:rPr>
            <w:noProof/>
            <w:webHidden/>
          </w:rPr>
          <w:fldChar w:fldCharType="end"/>
        </w:r>
      </w:hyperlink>
    </w:p>
    <w:p w14:paraId="14043A12" w14:textId="0FDF8E6B" w:rsidR="001726A8" w:rsidRDefault="00FD1CF2">
      <w:pPr>
        <w:pStyle w:val="TOC2"/>
        <w:tabs>
          <w:tab w:val="right" w:leader="dot" w:pos="5030"/>
        </w:tabs>
        <w:rPr>
          <w:rFonts w:eastAsiaTheme="minorEastAsia"/>
          <w:b w:val="0"/>
          <w:smallCaps w:val="0"/>
          <w:noProof/>
          <w:sz w:val="22"/>
          <w:lang w:eastAsia="zh-CN"/>
        </w:rPr>
      </w:pPr>
      <w:hyperlink w:anchor="_Toc25584009" w:history="1">
        <w:r w:rsidR="001726A8" w:rsidRPr="00C72AF9">
          <w:rPr>
            <w:rStyle w:val="Hyperlink"/>
            <w:noProof/>
          </w:rPr>
          <w:t>Microsoft Azure Services</w:t>
        </w:r>
        <w:r w:rsidR="001726A8">
          <w:rPr>
            <w:noProof/>
            <w:webHidden/>
          </w:rPr>
          <w:tab/>
        </w:r>
        <w:r w:rsidR="001726A8">
          <w:rPr>
            <w:noProof/>
            <w:webHidden/>
          </w:rPr>
          <w:fldChar w:fldCharType="begin"/>
        </w:r>
        <w:r w:rsidR="001726A8">
          <w:rPr>
            <w:noProof/>
            <w:webHidden/>
          </w:rPr>
          <w:instrText xml:space="preserve"> PAGEREF _Toc25584009 \h </w:instrText>
        </w:r>
        <w:r w:rsidR="001726A8">
          <w:rPr>
            <w:noProof/>
            <w:webHidden/>
          </w:rPr>
        </w:r>
        <w:r w:rsidR="001726A8">
          <w:rPr>
            <w:noProof/>
            <w:webHidden/>
          </w:rPr>
          <w:fldChar w:fldCharType="separate"/>
        </w:r>
        <w:r w:rsidR="001726A8">
          <w:rPr>
            <w:noProof/>
            <w:webHidden/>
          </w:rPr>
          <w:t>15</w:t>
        </w:r>
        <w:r w:rsidR="001726A8">
          <w:rPr>
            <w:noProof/>
            <w:webHidden/>
          </w:rPr>
          <w:fldChar w:fldCharType="end"/>
        </w:r>
      </w:hyperlink>
    </w:p>
    <w:p w14:paraId="01347FF6" w14:textId="2D4F6114" w:rsidR="001726A8" w:rsidRDefault="00FD1CF2">
      <w:pPr>
        <w:pStyle w:val="TOC4"/>
        <w:rPr>
          <w:rFonts w:eastAsiaTheme="minorEastAsia"/>
          <w:smallCaps w:val="0"/>
          <w:noProof/>
          <w:sz w:val="22"/>
          <w:lang w:eastAsia="zh-CN"/>
        </w:rPr>
      </w:pPr>
      <w:hyperlink w:anchor="_Toc25584010" w:history="1">
        <w:r w:rsidR="001726A8" w:rsidRPr="00C72AF9">
          <w:rPr>
            <w:rStyle w:val="Hyperlink"/>
            <w:noProof/>
          </w:rPr>
          <w:t>21Vianet Compute Pre-Purchase (CPP)</w:t>
        </w:r>
        <w:r w:rsidR="001726A8">
          <w:rPr>
            <w:noProof/>
            <w:webHidden/>
          </w:rPr>
          <w:tab/>
        </w:r>
        <w:r w:rsidR="001726A8">
          <w:rPr>
            <w:noProof/>
            <w:webHidden/>
          </w:rPr>
          <w:fldChar w:fldCharType="begin"/>
        </w:r>
        <w:r w:rsidR="001726A8">
          <w:rPr>
            <w:noProof/>
            <w:webHidden/>
          </w:rPr>
          <w:instrText xml:space="preserve"> PAGEREF _Toc25584010 \h </w:instrText>
        </w:r>
        <w:r w:rsidR="001726A8">
          <w:rPr>
            <w:noProof/>
            <w:webHidden/>
          </w:rPr>
        </w:r>
        <w:r w:rsidR="001726A8">
          <w:rPr>
            <w:noProof/>
            <w:webHidden/>
          </w:rPr>
          <w:fldChar w:fldCharType="separate"/>
        </w:r>
        <w:r w:rsidR="001726A8">
          <w:rPr>
            <w:noProof/>
            <w:webHidden/>
          </w:rPr>
          <w:t>15</w:t>
        </w:r>
        <w:r w:rsidR="001726A8">
          <w:rPr>
            <w:noProof/>
            <w:webHidden/>
          </w:rPr>
          <w:fldChar w:fldCharType="end"/>
        </w:r>
      </w:hyperlink>
    </w:p>
    <w:p w14:paraId="561DB56A" w14:textId="53AEFDEB" w:rsidR="001726A8" w:rsidRDefault="00FD1CF2">
      <w:pPr>
        <w:pStyle w:val="TOC4"/>
        <w:rPr>
          <w:rFonts w:eastAsiaTheme="minorEastAsia"/>
          <w:smallCaps w:val="0"/>
          <w:noProof/>
          <w:sz w:val="22"/>
          <w:lang w:eastAsia="zh-CN"/>
        </w:rPr>
      </w:pPr>
      <w:hyperlink w:anchor="_Toc25584011" w:history="1">
        <w:r w:rsidR="001726A8" w:rsidRPr="00C72AF9">
          <w:rPr>
            <w:rStyle w:val="Hyperlink"/>
            <w:noProof/>
          </w:rPr>
          <w:t>Microsoft Azure Stack</w:t>
        </w:r>
        <w:r w:rsidR="001726A8">
          <w:rPr>
            <w:noProof/>
            <w:webHidden/>
          </w:rPr>
          <w:tab/>
        </w:r>
        <w:r w:rsidR="001726A8">
          <w:rPr>
            <w:noProof/>
            <w:webHidden/>
          </w:rPr>
          <w:fldChar w:fldCharType="begin"/>
        </w:r>
        <w:r w:rsidR="001726A8">
          <w:rPr>
            <w:noProof/>
            <w:webHidden/>
          </w:rPr>
          <w:instrText xml:space="preserve"> PAGEREF _Toc25584011 \h </w:instrText>
        </w:r>
        <w:r w:rsidR="001726A8">
          <w:rPr>
            <w:noProof/>
            <w:webHidden/>
          </w:rPr>
        </w:r>
        <w:r w:rsidR="001726A8">
          <w:rPr>
            <w:noProof/>
            <w:webHidden/>
          </w:rPr>
          <w:fldChar w:fldCharType="separate"/>
        </w:r>
        <w:r w:rsidR="001726A8">
          <w:rPr>
            <w:noProof/>
            <w:webHidden/>
          </w:rPr>
          <w:t>16</w:t>
        </w:r>
        <w:r w:rsidR="001726A8">
          <w:rPr>
            <w:noProof/>
            <w:webHidden/>
          </w:rPr>
          <w:fldChar w:fldCharType="end"/>
        </w:r>
      </w:hyperlink>
    </w:p>
    <w:p w14:paraId="4CC5946D" w14:textId="3016E615" w:rsidR="001726A8" w:rsidRDefault="00FD1CF2">
      <w:pPr>
        <w:pStyle w:val="TOC4"/>
        <w:rPr>
          <w:rFonts w:eastAsiaTheme="minorEastAsia"/>
          <w:smallCaps w:val="0"/>
          <w:noProof/>
          <w:sz w:val="22"/>
          <w:lang w:eastAsia="zh-CN"/>
        </w:rPr>
      </w:pPr>
      <w:hyperlink w:anchor="_Toc25584012" w:history="1">
        <w:r w:rsidR="001726A8" w:rsidRPr="00C72AF9">
          <w:rPr>
            <w:rStyle w:val="Hyperlink"/>
            <w:noProof/>
          </w:rPr>
          <w:t>Cognitive Services</w:t>
        </w:r>
        <w:r w:rsidR="001726A8">
          <w:rPr>
            <w:noProof/>
            <w:webHidden/>
          </w:rPr>
          <w:tab/>
        </w:r>
        <w:r w:rsidR="001726A8">
          <w:rPr>
            <w:noProof/>
            <w:webHidden/>
          </w:rPr>
          <w:fldChar w:fldCharType="begin"/>
        </w:r>
        <w:r w:rsidR="001726A8">
          <w:rPr>
            <w:noProof/>
            <w:webHidden/>
          </w:rPr>
          <w:instrText xml:space="preserve"> PAGEREF _Toc25584012 \h </w:instrText>
        </w:r>
        <w:r w:rsidR="001726A8">
          <w:rPr>
            <w:noProof/>
            <w:webHidden/>
          </w:rPr>
        </w:r>
        <w:r w:rsidR="001726A8">
          <w:rPr>
            <w:noProof/>
            <w:webHidden/>
          </w:rPr>
          <w:fldChar w:fldCharType="separate"/>
        </w:r>
        <w:r w:rsidR="001726A8">
          <w:rPr>
            <w:noProof/>
            <w:webHidden/>
          </w:rPr>
          <w:t>16</w:t>
        </w:r>
        <w:r w:rsidR="001726A8">
          <w:rPr>
            <w:noProof/>
            <w:webHidden/>
          </w:rPr>
          <w:fldChar w:fldCharType="end"/>
        </w:r>
      </w:hyperlink>
    </w:p>
    <w:p w14:paraId="52DBF4A2" w14:textId="239B45FC" w:rsidR="001726A8" w:rsidRDefault="00FD1CF2">
      <w:pPr>
        <w:pStyle w:val="TOC2"/>
        <w:tabs>
          <w:tab w:val="right" w:leader="dot" w:pos="5030"/>
        </w:tabs>
        <w:rPr>
          <w:rFonts w:eastAsiaTheme="minorEastAsia"/>
          <w:b w:val="0"/>
          <w:smallCaps w:val="0"/>
          <w:noProof/>
          <w:sz w:val="22"/>
          <w:lang w:eastAsia="zh-CN"/>
        </w:rPr>
      </w:pPr>
      <w:hyperlink w:anchor="_Toc25584013" w:history="1">
        <w:r w:rsidR="001726A8" w:rsidRPr="00C72AF9">
          <w:rPr>
            <w:rStyle w:val="Hyperlink"/>
            <w:noProof/>
          </w:rPr>
          <w:t>Microsoft Azure Plans</w:t>
        </w:r>
        <w:r w:rsidR="001726A8">
          <w:rPr>
            <w:noProof/>
            <w:webHidden/>
          </w:rPr>
          <w:tab/>
        </w:r>
        <w:r w:rsidR="001726A8">
          <w:rPr>
            <w:noProof/>
            <w:webHidden/>
          </w:rPr>
          <w:fldChar w:fldCharType="begin"/>
        </w:r>
        <w:r w:rsidR="001726A8">
          <w:rPr>
            <w:noProof/>
            <w:webHidden/>
          </w:rPr>
          <w:instrText xml:space="preserve"> PAGEREF _Toc25584013 \h </w:instrText>
        </w:r>
        <w:r w:rsidR="001726A8">
          <w:rPr>
            <w:noProof/>
            <w:webHidden/>
          </w:rPr>
        </w:r>
        <w:r w:rsidR="001726A8">
          <w:rPr>
            <w:noProof/>
            <w:webHidden/>
          </w:rPr>
          <w:fldChar w:fldCharType="separate"/>
        </w:r>
        <w:r w:rsidR="001726A8">
          <w:rPr>
            <w:noProof/>
            <w:webHidden/>
          </w:rPr>
          <w:t>16</w:t>
        </w:r>
        <w:r w:rsidR="001726A8">
          <w:rPr>
            <w:noProof/>
            <w:webHidden/>
          </w:rPr>
          <w:fldChar w:fldCharType="end"/>
        </w:r>
      </w:hyperlink>
    </w:p>
    <w:p w14:paraId="5B44DF4A" w14:textId="7E4A8E11" w:rsidR="001726A8" w:rsidRDefault="00FD1CF2">
      <w:pPr>
        <w:pStyle w:val="TOC4"/>
        <w:rPr>
          <w:rFonts w:eastAsiaTheme="minorEastAsia"/>
          <w:smallCaps w:val="0"/>
          <w:noProof/>
          <w:sz w:val="22"/>
          <w:lang w:eastAsia="zh-CN"/>
        </w:rPr>
      </w:pPr>
      <w:hyperlink w:anchor="_Toc25584014" w:history="1">
        <w:r w:rsidR="001726A8" w:rsidRPr="00C72AF9">
          <w:rPr>
            <w:rStyle w:val="Hyperlink"/>
            <w:noProof/>
          </w:rPr>
          <w:t>Azure Active Directory Basic</w:t>
        </w:r>
        <w:r w:rsidR="001726A8">
          <w:rPr>
            <w:noProof/>
            <w:webHidden/>
          </w:rPr>
          <w:tab/>
        </w:r>
        <w:r w:rsidR="001726A8">
          <w:rPr>
            <w:noProof/>
            <w:webHidden/>
          </w:rPr>
          <w:fldChar w:fldCharType="begin"/>
        </w:r>
        <w:r w:rsidR="001726A8">
          <w:rPr>
            <w:noProof/>
            <w:webHidden/>
          </w:rPr>
          <w:instrText xml:space="preserve"> PAGEREF _Toc25584014 \h </w:instrText>
        </w:r>
        <w:r w:rsidR="001726A8">
          <w:rPr>
            <w:noProof/>
            <w:webHidden/>
          </w:rPr>
        </w:r>
        <w:r w:rsidR="001726A8">
          <w:rPr>
            <w:noProof/>
            <w:webHidden/>
          </w:rPr>
          <w:fldChar w:fldCharType="separate"/>
        </w:r>
        <w:r w:rsidR="001726A8">
          <w:rPr>
            <w:noProof/>
            <w:webHidden/>
          </w:rPr>
          <w:t>16</w:t>
        </w:r>
        <w:r w:rsidR="001726A8">
          <w:rPr>
            <w:noProof/>
            <w:webHidden/>
          </w:rPr>
          <w:fldChar w:fldCharType="end"/>
        </w:r>
      </w:hyperlink>
    </w:p>
    <w:p w14:paraId="7C36FE0F" w14:textId="773E5AFE" w:rsidR="001726A8" w:rsidRDefault="00FD1CF2">
      <w:pPr>
        <w:pStyle w:val="TOC4"/>
        <w:rPr>
          <w:rFonts w:eastAsiaTheme="minorEastAsia"/>
          <w:smallCaps w:val="0"/>
          <w:noProof/>
          <w:sz w:val="22"/>
          <w:lang w:eastAsia="zh-CN"/>
        </w:rPr>
      </w:pPr>
      <w:hyperlink w:anchor="_Toc25584015" w:history="1">
        <w:r w:rsidR="001726A8" w:rsidRPr="00C72AF9">
          <w:rPr>
            <w:rStyle w:val="Hyperlink"/>
            <w:noProof/>
          </w:rPr>
          <w:t>Azure Active Directory Premium</w:t>
        </w:r>
        <w:r w:rsidR="001726A8">
          <w:rPr>
            <w:noProof/>
            <w:webHidden/>
          </w:rPr>
          <w:tab/>
        </w:r>
        <w:r w:rsidR="001726A8">
          <w:rPr>
            <w:noProof/>
            <w:webHidden/>
          </w:rPr>
          <w:fldChar w:fldCharType="begin"/>
        </w:r>
        <w:r w:rsidR="001726A8">
          <w:rPr>
            <w:noProof/>
            <w:webHidden/>
          </w:rPr>
          <w:instrText xml:space="preserve"> PAGEREF _Toc25584015 \h </w:instrText>
        </w:r>
        <w:r w:rsidR="001726A8">
          <w:rPr>
            <w:noProof/>
            <w:webHidden/>
          </w:rPr>
        </w:r>
        <w:r w:rsidR="001726A8">
          <w:rPr>
            <w:noProof/>
            <w:webHidden/>
          </w:rPr>
          <w:fldChar w:fldCharType="separate"/>
        </w:r>
        <w:r w:rsidR="001726A8">
          <w:rPr>
            <w:noProof/>
            <w:webHidden/>
          </w:rPr>
          <w:t>17</w:t>
        </w:r>
        <w:r w:rsidR="001726A8">
          <w:rPr>
            <w:noProof/>
            <w:webHidden/>
          </w:rPr>
          <w:fldChar w:fldCharType="end"/>
        </w:r>
      </w:hyperlink>
    </w:p>
    <w:p w14:paraId="64BD8008" w14:textId="2FAF800C" w:rsidR="001726A8" w:rsidRDefault="00FD1CF2">
      <w:pPr>
        <w:pStyle w:val="TOC3"/>
        <w:rPr>
          <w:rFonts w:eastAsiaTheme="minorEastAsia"/>
          <w:b w:val="0"/>
          <w:smallCaps w:val="0"/>
          <w:sz w:val="22"/>
          <w:lang w:eastAsia="zh-CN"/>
        </w:rPr>
      </w:pPr>
      <w:hyperlink w:anchor="_Toc25584016" w:history="1">
        <w:r w:rsidR="001726A8" w:rsidRPr="00C72AF9">
          <w:rPr>
            <w:rStyle w:val="Hyperlink"/>
          </w:rPr>
          <w:t>Microsoft Dynamics 365 Services</w:t>
        </w:r>
        <w:r w:rsidR="001726A8">
          <w:rPr>
            <w:webHidden/>
          </w:rPr>
          <w:tab/>
        </w:r>
        <w:r w:rsidR="001726A8">
          <w:rPr>
            <w:webHidden/>
          </w:rPr>
          <w:fldChar w:fldCharType="begin"/>
        </w:r>
        <w:r w:rsidR="001726A8">
          <w:rPr>
            <w:webHidden/>
          </w:rPr>
          <w:instrText xml:space="preserve"> PAGEREF _Toc25584016 \h </w:instrText>
        </w:r>
        <w:r w:rsidR="001726A8">
          <w:rPr>
            <w:webHidden/>
          </w:rPr>
        </w:r>
        <w:r w:rsidR="001726A8">
          <w:rPr>
            <w:webHidden/>
          </w:rPr>
          <w:fldChar w:fldCharType="separate"/>
        </w:r>
        <w:r w:rsidR="001726A8">
          <w:rPr>
            <w:webHidden/>
          </w:rPr>
          <w:t>17</w:t>
        </w:r>
        <w:r w:rsidR="001726A8">
          <w:rPr>
            <w:webHidden/>
          </w:rPr>
          <w:fldChar w:fldCharType="end"/>
        </w:r>
      </w:hyperlink>
    </w:p>
    <w:p w14:paraId="54E5930A" w14:textId="1C486BF3" w:rsidR="001726A8" w:rsidRDefault="00FD1CF2">
      <w:pPr>
        <w:pStyle w:val="TOC2"/>
        <w:tabs>
          <w:tab w:val="right" w:leader="dot" w:pos="5030"/>
        </w:tabs>
        <w:rPr>
          <w:rFonts w:eastAsiaTheme="minorEastAsia"/>
          <w:b w:val="0"/>
          <w:smallCaps w:val="0"/>
          <w:noProof/>
          <w:sz w:val="22"/>
          <w:lang w:eastAsia="zh-CN"/>
        </w:rPr>
      </w:pPr>
      <w:hyperlink w:anchor="_Toc25584017" w:history="1">
        <w:r w:rsidR="001726A8" w:rsidRPr="00C72AF9">
          <w:rPr>
            <w:rStyle w:val="Hyperlink"/>
            <w:noProof/>
          </w:rPr>
          <w:t>Office 365 Services</w:t>
        </w:r>
        <w:r w:rsidR="001726A8">
          <w:rPr>
            <w:noProof/>
            <w:webHidden/>
          </w:rPr>
          <w:tab/>
        </w:r>
        <w:r w:rsidR="001726A8">
          <w:rPr>
            <w:noProof/>
            <w:webHidden/>
          </w:rPr>
          <w:fldChar w:fldCharType="begin"/>
        </w:r>
        <w:r w:rsidR="001726A8">
          <w:rPr>
            <w:noProof/>
            <w:webHidden/>
          </w:rPr>
          <w:instrText xml:space="preserve"> PAGEREF _Toc25584017 \h </w:instrText>
        </w:r>
        <w:r w:rsidR="001726A8">
          <w:rPr>
            <w:noProof/>
            <w:webHidden/>
          </w:rPr>
        </w:r>
        <w:r w:rsidR="001726A8">
          <w:rPr>
            <w:noProof/>
            <w:webHidden/>
          </w:rPr>
          <w:fldChar w:fldCharType="separate"/>
        </w:r>
        <w:r w:rsidR="001726A8">
          <w:rPr>
            <w:noProof/>
            <w:webHidden/>
          </w:rPr>
          <w:t>18</w:t>
        </w:r>
        <w:r w:rsidR="001726A8">
          <w:rPr>
            <w:noProof/>
            <w:webHidden/>
          </w:rPr>
          <w:fldChar w:fldCharType="end"/>
        </w:r>
      </w:hyperlink>
    </w:p>
    <w:p w14:paraId="0646C233" w14:textId="1EDDB4F8" w:rsidR="001726A8" w:rsidRDefault="00FD1CF2">
      <w:pPr>
        <w:pStyle w:val="TOC4"/>
        <w:rPr>
          <w:rFonts w:eastAsiaTheme="minorEastAsia"/>
          <w:smallCaps w:val="0"/>
          <w:noProof/>
          <w:sz w:val="22"/>
          <w:lang w:eastAsia="zh-CN"/>
        </w:rPr>
      </w:pPr>
      <w:hyperlink w:anchor="_Toc25584018" w:history="1">
        <w:r w:rsidR="001726A8" w:rsidRPr="00C72AF9">
          <w:rPr>
            <w:rStyle w:val="Hyperlink"/>
            <w:noProof/>
          </w:rPr>
          <w:t>Exchange Online</w:t>
        </w:r>
        <w:r w:rsidR="001726A8">
          <w:rPr>
            <w:noProof/>
            <w:webHidden/>
          </w:rPr>
          <w:tab/>
        </w:r>
        <w:r w:rsidR="001726A8">
          <w:rPr>
            <w:noProof/>
            <w:webHidden/>
          </w:rPr>
          <w:fldChar w:fldCharType="begin"/>
        </w:r>
        <w:r w:rsidR="001726A8">
          <w:rPr>
            <w:noProof/>
            <w:webHidden/>
          </w:rPr>
          <w:instrText xml:space="preserve"> PAGEREF _Toc25584018 \h </w:instrText>
        </w:r>
        <w:r w:rsidR="001726A8">
          <w:rPr>
            <w:noProof/>
            <w:webHidden/>
          </w:rPr>
        </w:r>
        <w:r w:rsidR="001726A8">
          <w:rPr>
            <w:noProof/>
            <w:webHidden/>
          </w:rPr>
          <w:fldChar w:fldCharType="separate"/>
        </w:r>
        <w:r w:rsidR="001726A8">
          <w:rPr>
            <w:noProof/>
            <w:webHidden/>
          </w:rPr>
          <w:t>18</w:t>
        </w:r>
        <w:r w:rsidR="001726A8">
          <w:rPr>
            <w:noProof/>
            <w:webHidden/>
          </w:rPr>
          <w:fldChar w:fldCharType="end"/>
        </w:r>
      </w:hyperlink>
    </w:p>
    <w:p w14:paraId="6394D0A7" w14:textId="1EFA80B4" w:rsidR="001726A8" w:rsidRDefault="00FD1CF2">
      <w:pPr>
        <w:pStyle w:val="TOC4"/>
        <w:rPr>
          <w:rFonts w:eastAsiaTheme="minorEastAsia"/>
          <w:smallCaps w:val="0"/>
          <w:noProof/>
          <w:sz w:val="22"/>
          <w:lang w:eastAsia="zh-CN"/>
        </w:rPr>
      </w:pPr>
      <w:hyperlink w:anchor="_Toc25584019" w:history="1">
        <w:r w:rsidR="001726A8" w:rsidRPr="00C72AF9">
          <w:rPr>
            <w:rStyle w:val="Hyperlink"/>
            <w:noProof/>
          </w:rPr>
          <w:t>Office 365 Applications</w:t>
        </w:r>
        <w:r w:rsidR="001726A8">
          <w:rPr>
            <w:noProof/>
            <w:webHidden/>
          </w:rPr>
          <w:tab/>
        </w:r>
        <w:r w:rsidR="001726A8">
          <w:rPr>
            <w:noProof/>
            <w:webHidden/>
          </w:rPr>
          <w:fldChar w:fldCharType="begin"/>
        </w:r>
        <w:r w:rsidR="001726A8">
          <w:rPr>
            <w:noProof/>
            <w:webHidden/>
          </w:rPr>
          <w:instrText xml:space="preserve"> PAGEREF _Toc25584019 \h </w:instrText>
        </w:r>
        <w:r w:rsidR="001726A8">
          <w:rPr>
            <w:noProof/>
            <w:webHidden/>
          </w:rPr>
        </w:r>
        <w:r w:rsidR="001726A8">
          <w:rPr>
            <w:noProof/>
            <w:webHidden/>
          </w:rPr>
          <w:fldChar w:fldCharType="separate"/>
        </w:r>
        <w:r w:rsidR="001726A8">
          <w:rPr>
            <w:noProof/>
            <w:webHidden/>
          </w:rPr>
          <w:t>19</w:t>
        </w:r>
        <w:r w:rsidR="001726A8">
          <w:rPr>
            <w:noProof/>
            <w:webHidden/>
          </w:rPr>
          <w:fldChar w:fldCharType="end"/>
        </w:r>
      </w:hyperlink>
    </w:p>
    <w:p w14:paraId="5F15845D" w14:textId="3C10982E" w:rsidR="001726A8" w:rsidRDefault="00FD1CF2">
      <w:pPr>
        <w:pStyle w:val="TOC4"/>
        <w:rPr>
          <w:rFonts w:eastAsiaTheme="minorEastAsia"/>
          <w:smallCaps w:val="0"/>
          <w:noProof/>
          <w:sz w:val="22"/>
          <w:lang w:eastAsia="zh-CN"/>
        </w:rPr>
      </w:pPr>
      <w:hyperlink w:anchor="_Toc25584020" w:history="1">
        <w:r w:rsidR="001726A8" w:rsidRPr="00C72AF9">
          <w:rPr>
            <w:rStyle w:val="Hyperlink"/>
            <w:noProof/>
          </w:rPr>
          <w:t>Office Online</w:t>
        </w:r>
        <w:r w:rsidR="001726A8">
          <w:rPr>
            <w:noProof/>
            <w:webHidden/>
          </w:rPr>
          <w:tab/>
        </w:r>
        <w:r w:rsidR="001726A8">
          <w:rPr>
            <w:noProof/>
            <w:webHidden/>
          </w:rPr>
          <w:fldChar w:fldCharType="begin"/>
        </w:r>
        <w:r w:rsidR="001726A8">
          <w:rPr>
            <w:noProof/>
            <w:webHidden/>
          </w:rPr>
          <w:instrText xml:space="preserve"> PAGEREF _Toc25584020 \h </w:instrText>
        </w:r>
        <w:r w:rsidR="001726A8">
          <w:rPr>
            <w:noProof/>
            <w:webHidden/>
          </w:rPr>
        </w:r>
        <w:r w:rsidR="001726A8">
          <w:rPr>
            <w:noProof/>
            <w:webHidden/>
          </w:rPr>
          <w:fldChar w:fldCharType="separate"/>
        </w:r>
        <w:r w:rsidR="001726A8">
          <w:rPr>
            <w:noProof/>
            <w:webHidden/>
          </w:rPr>
          <w:t>20</w:t>
        </w:r>
        <w:r w:rsidR="001726A8">
          <w:rPr>
            <w:noProof/>
            <w:webHidden/>
          </w:rPr>
          <w:fldChar w:fldCharType="end"/>
        </w:r>
      </w:hyperlink>
    </w:p>
    <w:p w14:paraId="5783BAA0" w14:textId="58BF8EE5" w:rsidR="001726A8" w:rsidRDefault="00FD1CF2">
      <w:pPr>
        <w:pStyle w:val="TOC4"/>
        <w:rPr>
          <w:rFonts w:eastAsiaTheme="minorEastAsia"/>
          <w:smallCaps w:val="0"/>
          <w:noProof/>
          <w:sz w:val="22"/>
          <w:lang w:eastAsia="zh-CN"/>
        </w:rPr>
      </w:pPr>
      <w:hyperlink w:anchor="_Toc25584021" w:history="1">
        <w:r w:rsidR="001726A8" w:rsidRPr="00C72AF9">
          <w:rPr>
            <w:rStyle w:val="Hyperlink"/>
            <w:noProof/>
          </w:rPr>
          <w:t>OneDrive for Business</w:t>
        </w:r>
        <w:r w:rsidR="001726A8">
          <w:rPr>
            <w:noProof/>
            <w:webHidden/>
          </w:rPr>
          <w:tab/>
        </w:r>
        <w:r w:rsidR="001726A8">
          <w:rPr>
            <w:noProof/>
            <w:webHidden/>
          </w:rPr>
          <w:fldChar w:fldCharType="begin"/>
        </w:r>
        <w:r w:rsidR="001726A8">
          <w:rPr>
            <w:noProof/>
            <w:webHidden/>
          </w:rPr>
          <w:instrText xml:space="preserve"> PAGEREF _Toc25584021 \h </w:instrText>
        </w:r>
        <w:r w:rsidR="001726A8">
          <w:rPr>
            <w:noProof/>
            <w:webHidden/>
          </w:rPr>
        </w:r>
        <w:r w:rsidR="001726A8">
          <w:rPr>
            <w:noProof/>
            <w:webHidden/>
          </w:rPr>
          <w:fldChar w:fldCharType="separate"/>
        </w:r>
        <w:r w:rsidR="001726A8">
          <w:rPr>
            <w:noProof/>
            <w:webHidden/>
          </w:rPr>
          <w:t>20</w:t>
        </w:r>
        <w:r w:rsidR="001726A8">
          <w:rPr>
            <w:noProof/>
            <w:webHidden/>
          </w:rPr>
          <w:fldChar w:fldCharType="end"/>
        </w:r>
      </w:hyperlink>
    </w:p>
    <w:p w14:paraId="739B79F8" w14:textId="29301DFC" w:rsidR="001726A8" w:rsidRDefault="00FD1CF2">
      <w:pPr>
        <w:pStyle w:val="TOC4"/>
        <w:rPr>
          <w:rFonts w:eastAsiaTheme="minorEastAsia"/>
          <w:smallCaps w:val="0"/>
          <w:noProof/>
          <w:sz w:val="22"/>
          <w:lang w:eastAsia="zh-CN"/>
        </w:rPr>
      </w:pPr>
      <w:hyperlink w:anchor="_Toc25584022" w:history="1">
        <w:r w:rsidR="001726A8" w:rsidRPr="00C72AF9">
          <w:rPr>
            <w:rStyle w:val="Hyperlink"/>
            <w:noProof/>
          </w:rPr>
          <w:t>Project Online</w:t>
        </w:r>
        <w:r w:rsidR="001726A8">
          <w:rPr>
            <w:noProof/>
            <w:webHidden/>
          </w:rPr>
          <w:tab/>
        </w:r>
        <w:r w:rsidR="001726A8">
          <w:rPr>
            <w:noProof/>
            <w:webHidden/>
          </w:rPr>
          <w:fldChar w:fldCharType="begin"/>
        </w:r>
        <w:r w:rsidR="001726A8">
          <w:rPr>
            <w:noProof/>
            <w:webHidden/>
          </w:rPr>
          <w:instrText xml:space="preserve"> PAGEREF _Toc25584022 \h </w:instrText>
        </w:r>
        <w:r w:rsidR="001726A8">
          <w:rPr>
            <w:noProof/>
            <w:webHidden/>
          </w:rPr>
        </w:r>
        <w:r w:rsidR="001726A8">
          <w:rPr>
            <w:noProof/>
            <w:webHidden/>
          </w:rPr>
          <w:fldChar w:fldCharType="separate"/>
        </w:r>
        <w:r w:rsidR="001726A8">
          <w:rPr>
            <w:noProof/>
            <w:webHidden/>
          </w:rPr>
          <w:t>20</w:t>
        </w:r>
        <w:r w:rsidR="001726A8">
          <w:rPr>
            <w:noProof/>
            <w:webHidden/>
          </w:rPr>
          <w:fldChar w:fldCharType="end"/>
        </w:r>
      </w:hyperlink>
    </w:p>
    <w:p w14:paraId="2EA303E0" w14:textId="1451E381" w:rsidR="001726A8" w:rsidRDefault="00FD1CF2">
      <w:pPr>
        <w:pStyle w:val="TOC4"/>
        <w:rPr>
          <w:rFonts w:eastAsiaTheme="minorEastAsia"/>
          <w:smallCaps w:val="0"/>
          <w:noProof/>
          <w:sz w:val="22"/>
          <w:lang w:eastAsia="zh-CN"/>
        </w:rPr>
      </w:pPr>
      <w:hyperlink w:anchor="_Toc25584023" w:history="1">
        <w:r w:rsidR="001726A8" w:rsidRPr="00C72AF9">
          <w:rPr>
            <w:rStyle w:val="Hyperlink"/>
            <w:noProof/>
          </w:rPr>
          <w:t>SharePoint Online</w:t>
        </w:r>
        <w:r w:rsidR="001726A8">
          <w:rPr>
            <w:noProof/>
            <w:webHidden/>
          </w:rPr>
          <w:tab/>
        </w:r>
        <w:r w:rsidR="001726A8">
          <w:rPr>
            <w:noProof/>
            <w:webHidden/>
          </w:rPr>
          <w:fldChar w:fldCharType="begin"/>
        </w:r>
        <w:r w:rsidR="001726A8">
          <w:rPr>
            <w:noProof/>
            <w:webHidden/>
          </w:rPr>
          <w:instrText xml:space="preserve"> PAGEREF _Toc25584023 \h </w:instrText>
        </w:r>
        <w:r w:rsidR="001726A8">
          <w:rPr>
            <w:noProof/>
            <w:webHidden/>
          </w:rPr>
        </w:r>
        <w:r w:rsidR="001726A8">
          <w:rPr>
            <w:noProof/>
            <w:webHidden/>
          </w:rPr>
          <w:fldChar w:fldCharType="separate"/>
        </w:r>
        <w:r w:rsidR="001726A8">
          <w:rPr>
            <w:noProof/>
            <w:webHidden/>
          </w:rPr>
          <w:t>20</w:t>
        </w:r>
        <w:r w:rsidR="001726A8">
          <w:rPr>
            <w:noProof/>
            <w:webHidden/>
          </w:rPr>
          <w:fldChar w:fldCharType="end"/>
        </w:r>
      </w:hyperlink>
    </w:p>
    <w:p w14:paraId="3ED867B1" w14:textId="15096BA2" w:rsidR="001726A8" w:rsidRDefault="00FD1CF2">
      <w:pPr>
        <w:pStyle w:val="TOC4"/>
        <w:rPr>
          <w:rFonts w:eastAsiaTheme="minorEastAsia"/>
          <w:smallCaps w:val="0"/>
          <w:noProof/>
          <w:sz w:val="22"/>
          <w:lang w:eastAsia="zh-CN"/>
        </w:rPr>
      </w:pPr>
      <w:hyperlink w:anchor="_Toc25584024" w:history="1">
        <w:r w:rsidR="001726A8" w:rsidRPr="00C72AF9">
          <w:rPr>
            <w:rStyle w:val="Hyperlink"/>
            <w:noProof/>
          </w:rPr>
          <w:t>Skype for Business Online</w:t>
        </w:r>
        <w:r w:rsidR="001726A8">
          <w:rPr>
            <w:noProof/>
            <w:webHidden/>
          </w:rPr>
          <w:tab/>
        </w:r>
        <w:r w:rsidR="001726A8">
          <w:rPr>
            <w:noProof/>
            <w:webHidden/>
          </w:rPr>
          <w:fldChar w:fldCharType="begin"/>
        </w:r>
        <w:r w:rsidR="001726A8">
          <w:rPr>
            <w:noProof/>
            <w:webHidden/>
          </w:rPr>
          <w:instrText xml:space="preserve"> PAGEREF _Toc25584024 \h </w:instrText>
        </w:r>
        <w:r w:rsidR="001726A8">
          <w:rPr>
            <w:noProof/>
            <w:webHidden/>
          </w:rPr>
        </w:r>
        <w:r w:rsidR="001726A8">
          <w:rPr>
            <w:noProof/>
            <w:webHidden/>
          </w:rPr>
          <w:fldChar w:fldCharType="separate"/>
        </w:r>
        <w:r w:rsidR="001726A8">
          <w:rPr>
            <w:noProof/>
            <w:webHidden/>
          </w:rPr>
          <w:t>21</w:t>
        </w:r>
        <w:r w:rsidR="001726A8">
          <w:rPr>
            <w:noProof/>
            <w:webHidden/>
          </w:rPr>
          <w:fldChar w:fldCharType="end"/>
        </w:r>
      </w:hyperlink>
    </w:p>
    <w:p w14:paraId="0F0EB770" w14:textId="6E55CE4F" w:rsidR="001726A8" w:rsidRDefault="00FD1CF2">
      <w:pPr>
        <w:pStyle w:val="TOC2"/>
        <w:tabs>
          <w:tab w:val="right" w:leader="dot" w:pos="5030"/>
        </w:tabs>
        <w:rPr>
          <w:rFonts w:eastAsiaTheme="minorEastAsia"/>
          <w:b w:val="0"/>
          <w:smallCaps w:val="0"/>
          <w:noProof/>
          <w:sz w:val="22"/>
          <w:lang w:eastAsia="zh-CN"/>
        </w:rPr>
      </w:pPr>
      <w:hyperlink w:anchor="_Toc25584025" w:history="1">
        <w:r w:rsidR="001726A8" w:rsidRPr="00C72AF9">
          <w:rPr>
            <w:rStyle w:val="Hyperlink"/>
            <w:noProof/>
          </w:rPr>
          <w:t>Other Online Services</w:t>
        </w:r>
        <w:r w:rsidR="001726A8">
          <w:rPr>
            <w:noProof/>
            <w:webHidden/>
          </w:rPr>
          <w:tab/>
        </w:r>
        <w:r w:rsidR="001726A8">
          <w:rPr>
            <w:noProof/>
            <w:webHidden/>
          </w:rPr>
          <w:fldChar w:fldCharType="begin"/>
        </w:r>
        <w:r w:rsidR="001726A8">
          <w:rPr>
            <w:noProof/>
            <w:webHidden/>
          </w:rPr>
          <w:instrText xml:space="preserve"> PAGEREF _Toc25584025 \h </w:instrText>
        </w:r>
        <w:r w:rsidR="001726A8">
          <w:rPr>
            <w:noProof/>
            <w:webHidden/>
          </w:rPr>
        </w:r>
        <w:r w:rsidR="001726A8">
          <w:rPr>
            <w:noProof/>
            <w:webHidden/>
          </w:rPr>
          <w:fldChar w:fldCharType="separate"/>
        </w:r>
        <w:r w:rsidR="001726A8">
          <w:rPr>
            <w:noProof/>
            <w:webHidden/>
          </w:rPr>
          <w:t>21</w:t>
        </w:r>
        <w:r w:rsidR="001726A8">
          <w:rPr>
            <w:noProof/>
            <w:webHidden/>
          </w:rPr>
          <w:fldChar w:fldCharType="end"/>
        </w:r>
      </w:hyperlink>
    </w:p>
    <w:p w14:paraId="429FF7C3" w14:textId="46D9C783" w:rsidR="001726A8" w:rsidRDefault="00FD1CF2">
      <w:pPr>
        <w:pStyle w:val="TOC4"/>
        <w:rPr>
          <w:rFonts w:eastAsiaTheme="minorEastAsia"/>
          <w:smallCaps w:val="0"/>
          <w:noProof/>
          <w:sz w:val="22"/>
          <w:lang w:eastAsia="zh-CN"/>
        </w:rPr>
      </w:pPr>
      <w:hyperlink w:anchor="_Toc25584026" w:history="1">
        <w:r w:rsidR="001726A8" w:rsidRPr="00C72AF9">
          <w:rPr>
            <w:rStyle w:val="Hyperlink"/>
            <w:noProof/>
          </w:rPr>
          <w:t>Microsoft Power BI</w:t>
        </w:r>
        <w:r w:rsidR="001726A8">
          <w:rPr>
            <w:noProof/>
            <w:webHidden/>
          </w:rPr>
          <w:tab/>
        </w:r>
        <w:r w:rsidR="001726A8">
          <w:rPr>
            <w:noProof/>
            <w:webHidden/>
          </w:rPr>
          <w:fldChar w:fldCharType="begin"/>
        </w:r>
        <w:r w:rsidR="001726A8">
          <w:rPr>
            <w:noProof/>
            <w:webHidden/>
          </w:rPr>
          <w:instrText xml:space="preserve"> PAGEREF _Toc25584026 \h </w:instrText>
        </w:r>
        <w:r w:rsidR="001726A8">
          <w:rPr>
            <w:noProof/>
            <w:webHidden/>
          </w:rPr>
        </w:r>
        <w:r w:rsidR="001726A8">
          <w:rPr>
            <w:noProof/>
            <w:webHidden/>
          </w:rPr>
          <w:fldChar w:fldCharType="separate"/>
        </w:r>
        <w:r w:rsidR="001726A8">
          <w:rPr>
            <w:noProof/>
            <w:webHidden/>
          </w:rPr>
          <w:t>21</w:t>
        </w:r>
        <w:r w:rsidR="001726A8">
          <w:rPr>
            <w:noProof/>
            <w:webHidden/>
          </w:rPr>
          <w:fldChar w:fldCharType="end"/>
        </w:r>
      </w:hyperlink>
    </w:p>
    <w:p w14:paraId="0DF0D6E6" w14:textId="3F9BCE50" w:rsidR="001726A8" w:rsidRDefault="00FD1CF2">
      <w:pPr>
        <w:pStyle w:val="TOC1"/>
        <w:tabs>
          <w:tab w:val="right" w:leader="dot" w:pos="5030"/>
        </w:tabs>
        <w:rPr>
          <w:rFonts w:eastAsiaTheme="minorEastAsia"/>
          <w:b w:val="0"/>
          <w:caps w:val="0"/>
          <w:noProof/>
          <w:sz w:val="22"/>
          <w:lang w:eastAsia="zh-CN"/>
        </w:rPr>
      </w:pPr>
      <w:hyperlink w:anchor="_Toc25584027" w:history="1">
        <w:r w:rsidR="001726A8" w:rsidRPr="00C72AF9">
          <w:rPr>
            <w:rStyle w:val="Hyperlink"/>
            <w:noProof/>
          </w:rPr>
          <w:t>21Vianet Online Services Product Availability</w:t>
        </w:r>
        <w:r w:rsidR="001726A8">
          <w:rPr>
            <w:noProof/>
            <w:webHidden/>
          </w:rPr>
          <w:tab/>
        </w:r>
        <w:r w:rsidR="001726A8">
          <w:rPr>
            <w:noProof/>
            <w:webHidden/>
          </w:rPr>
          <w:fldChar w:fldCharType="begin"/>
        </w:r>
        <w:r w:rsidR="001726A8">
          <w:rPr>
            <w:noProof/>
            <w:webHidden/>
          </w:rPr>
          <w:instrText xml:space="preserve"> PAGEREF _Toc25584027 \h </w:instrText>
        </w:r>
        <w:r w:rsidR="001726A8">
          <w:rPr>
            <w:noProof/>
            <w:webHidden/>
          </w:rPr>
        </w:r>
        <w:r w:rsidR="001726A8">
          <w:rPr>
            <w:noProof/>
            <w:webHidden/>
          </w:rPr>
          <w:fldChar w:fldCharType="separate"/>
        </w:r>
        <w:r w:rsidR="001726A8">
          <w:rPr>
            <w:noProof/>
            <w:webHidden/>
          </w:rPr>
          <w:t>23</w:t>
        </w:r>
        <w:r w:rsidR="001726A8">
          <w:rPr>
            <w:noProof/>
            <w:webHidden/>
          </w:rPr>
          <w:fldChar w:fldCharType="end"/>
        </w:r>
      </w:hyperlink>
    </w:p>
    <w:p w14:paraId="6B70EDF9" w14:textId="30BD7481" w:rsidR="001726A8" w:rsidRDefault="00FD1CF2">
      <w:pPr>
        <w:pStyle w:val="TOC5"/>
        <w:tabs>
          <w:tab w:val="right" w:leader="dot" w:pos="5030"/>
        </w:tabs>
        <w:rPr>
          <w:rFonts w:eastAsiaTheme="minorEastAsia"/>
          <w:noProof/>
          <w:sz w:val="22"/>
          <w:lang w:eastAsia="zh-CN"/>
        </w:rPr>
      </w:pPr>
      <w:hyperlink w:anchor="_Toc25584028" w:history="1">
        <w:r w:rsidR="001726A8" w:rsidRPr="00C72AF9">
          <w:rPr>
            <w:rStyle w:val="Hyperlink"/>
            <w:noProof/>
          </w:rPr>
          <w:t>Microsoft Azure</w:t>
        </w:r>
        <w:r w:rsidR="001726A8">
          <w:rPr>
            <w:noProof/>
            <w:webHidden/>
          </w:rPr>
          <w:tab/>
        </w:r>
        <w:r w:rsidR="001726A8">
          <w:rPr>
            <w:noProof/>
            <w:webHidden/>
          </w:rPr>
          <w:fldChar w:fldCharType="begin"/>
        </w:r>
        <w:r w:rsidR="001726A8">
          <w:rPr>
            <w:noProof/>
            <w:webHidden/>
          </w:rPr>
          <w:instrText xml:space="preserve"> PAGEREF _Toc25584028 \h </w:instrText>
        </w:r>
        <w:r w:rsidR="001726A8">
          <w:rPr>
            <w:noProof/>
            <w:webHidden/>
          </w:rPr>
        </w:r>
        <w:r w:rsidR="001726A8">
          <w:rPr>
            <w:noProof/>
            <w:webHidden/>
          </w:rPr>
          <w:fldChar w:fldCharType="separate"/>
        </w:r>
        <w:r w:rsidR="001726A8">
          <w:rPr>
            <w:noProof/>
            <w:webHidden/>
          </w:rPr>
          <w:t>23</w:t>
        </w:r>
        <w:r w:rsidR="001726A8">
          <w:rPr>
            <w:noProof/>
            <w:webHidden/>
          </w:rPr>
          <w:fldChar w:fldCharType="end"/>
        </w:r>
      </w:hyperlink>
    </w:p>
    <w:p w14:paraId="6666610A" w14:textId="11E41E37" w:rsidR="001726A8" w:rsidRDefault="00FD1CF2">
      <w:pPr>
        <w:pStyle w:val="TOC5"/>
        <w:tabs>
          <w:tab w:val="right" w:leader="dot" w:pos="5030"/>
        </w:tabs>
        <w:rPr>
          <w:rFonts w:eastAsiaTheme="minorEastAsia"/>
          <w:noProof/>
          <w:sz w:val="22"/>
          <w:lang w:eastAsia="zh-CN"/>
        </w:rPr>
      </w:pPr>
      <w:hyperlink w:anchor="_Toc25584029" w:history="1">
        <w:r w:rsidR="001726A8" w:rsidRPr="00C72AF9">
          <w:rPr>
            <w:rStyle w:val="Hyperlink"/>
            <w:noProof/>
          </w:rPr>
          <w:t>Microsoft Dynamics 365</w:t>
        </w:r>
        <w:r w:rsidR="001726A8">
          <w:rPr>
            <w:noProof/>
            <w:webHidden/>
          </w:rPr>
          <w:tab/>
        </w:r>
        <w:r w:rsidR="001726A8">
          <w:rPr>
            <w:noProof/>
            <w:webHidden/>
          </w:rPr>
          <w:fldChar w:fldCharType="begin"/>
        </w:r>
        <w:r w:rsidR="001726A8">
          <w:rPr>
            <w:noProof/>
            <w:webHidden/>
          </w:rPr>
          <w:instrText xml:space="preserve"> PAGEREF _Toc25584029 \h </w:instrText>
        </w:r>
        <w:r w:rsidR="001726A8">
          <w:rPr>
            <w:noProof/>
            <w:webHidden/>
          </w:rPr>
        </w:r>
        <w:r w:rsidR="001726A8">
          <w:rPr>
            <w:noProof/>
            <w:webHidden/>
          </w:rPr>
          <w:fldChar w:fldCharType="separate"/>
        </w:r>
        <w:r w:rsidR="001726A8">
          <w:rPr>
            <w:noProof/>
            <w:webHidden/>
          </w:rPr>
          <w:t>23</w:t>
        </w:r>
        <w:r w:rsidR="001726A8">
          <w:rPr>
            <w:noProof/>
            <w:webHidden/>
          </w:rPr>
          <w:fldChar w:fldCharType="end"/>
        </w:r>
      </w:hyperlink>
    </w:p>
    <w:p w14:paraId="00A5B8F1" w14:textId="2FBADB3C" w:rsidR="001726A8" w:rsidRDefault="00FD1CF2">
      <w:pPr>
        <w:pStyle w:val="TOC5"/>
        <w:tabs>
          <w:tab w:val="right" w:leader="dot" w:pos="5030"/>
        </w:tabs>
        <w:rPr>
          <w:rFonts w:eastAsiaTheme="minorEastAsia"/>
          <w:noProof/>
          <w:sz w:val="22"/>
          <w:lang w:eastAsia="zh-CN"/>
        </w:rPr>
      </w:pPr>
      <w:hyperlink w:anchor="_Toc25584030" w:history="1">
        <w:r w:rsidR="001726A8" w:rsidRPr="00C72AF9">
          <w:rPr>
            <w:rStyle w:val="Hyperlink"/>
            <w:noProof/>
          </w:rPr>
          <w:t>Office 365</w:t>
        </w:r>
        <w:r w:rsidR="001726A8">
          <w:rPr>
            <w:noProof/>
            <w:webHidden/>
          </w:rPr>
          <w:tab/>
        </w:r>
        <w:r w:rsidR="001726A8">
          <w:rPr>
            <w:noProof/>
            <w:webHidden/>
          </w:rPr>
          <w:fldChar w:fldCharType="begin"/>
        </w:r>
        <w:r w:rsidR="001726A8">
          <w:rPr>
            <w:noProof/>
            <w:webHidden/>
          </w:rPr>
          <w:instrText xml:space="preserve"> PAGEREF _Toc25584030 \h </w:instrText>
        </w:r>
        <w:r w:rsidR="001726A8">
          <w:rPr>
            <w:noProof/>
            <w:webHidden/>
          </w:rPr>
        </w:r>
        <w:r w:rsidR="001726A8">
          <w:rPr>
            <w:noProof/>
            <w:webHidden/>
          </w:rPr>
          <w:fldChar w:fldCharType="separate"/>
        </w:r>
        <w:r w:rsidR="001726A8">
          <w:rPr>
            <w:noProof/>
            <w:webHidden/>
          </w:rPr>
          <w:t>23</w:t>
        </w:r>
        <w:r w:rsidR="001726A8">
          <w:rPr>
            <w:noProof/>
            <w:webHidden/>
          </w:rPr>
          <w:fldChar w:fldCharType="end"/>
        </w:r>
      </w:hyperlink>
    </w:p>
    <w:p w14:paraId="70B4B623" w14:textId="5E8D3C64" w:rsidR="001726A8" w:rsidRDefault="00FD1CF2">
      <w:pPr>
        <w:pStyle w:val="TOC5"/>
        <w:tabs>
          <w:tab w:val="right" w:leader="dot" w:pos="5030"/>
        </w:tabs>
        <w:rPr>
          <w:rFonts w:eastAsiaTheme="minorEastAsia"/>
          <w:noProof/>
          <w:sz w:val="22"/>
          <w:lang w:eastAsia="zh-CN"/>
        </w:rPr>
      </w:pPr>
      <w:hyperlink w:anchor="_Toc25584031" w:history="1">
        <w:r w:rsidR="001726A8" w:rsidRPr="00C72AF9">
          <w:rPr>
            <w:rStyle w:val="Hyperlink"/>
            <w:noProof/>
          </w:rPr>
          <w:t>Office 365 for Academic</w:t>
        </w:r>
        <w:r w:rsidR="001726A8">
          <w:rPr>
            <w:noProof/>
            <w:webHidden/>
          </w:rPr>
          <w:tab/>
        </w:r>
        <w:r w:rsidR="001726A8">
          <w:rPr>
            <w:noProof/>
            <w:webHidden/>
          </w:rPr>
          <w:fldChar w:fldCharType="begin"/>
        </w:r>
        <w:r w:rsidR="001726A8">
          <w:rPr>
            <w:noProof/>
            <w:webHidden/>
          </w:rPr>
          <w:instrText xml:space="preserve"> PAGEREF _Toc25584031 \h </w:instrText>
        </w:r>
        <w:r w:rsidR="001726A8">
          <w:rPr>
            <w:noProof/>
            <w:webHidden/>
          </w:rPr>
        </w:r>
        <w:r w:rsidR="001726A8">
          <w:rPr>
            <w:noProof/>
            <w:webHidden/>
          </w:rPr>
          <w:fldChar w:fldCharType="separate"/>
        </w:r>
        <w:r w:rsidR="001726A8">
          <w:rPr>
            <w:noProof/>
            <w:webHidden/>
          </w:rPr>
          <w:t>25</w:t>
        </w:r>
        <w:r w:rsidR="001726A8">
          <w:rPr>
            <w:noProof/>
            <w:webHidden/>
          </w:rPr>
          <w:fldChar w:fldCharType="end"/>
        </w:r>
      </w:hyperlink>
    </w:p>
    <w:p w14:paraId="5FBC4C95" w14:textId="19064B92" w:rsidR="001726A8" w:rsidRDefault="00FD1CF2">
      <w:pPr>
        <w:pStyle w:val="TOC5"/>
        <w:tabs>
          <w:tab w:val="right" w:leader="dot" w:pos="5030"/>
        </w:tabs>
        <w:rPr>
          <w:rFonts w:eastAsiaTheme="minorEastAsia"/>
          <w:noProof/>
          <w:sz w:val="22"/>
          <w:lang w:eastAsia="zh-CN"/>
        </w:rPr>
      </w:pPr>
      <w:hyperlink w:anchor="_Toc25584032" w:history="1">
        <w:r w:rsidR="001726A8" w:rsidRPr="00C72AF9">
          <w:rPr>
            <w:rStyle w:val="Hyperlink"/>
            <w:noProof/>
          </w:rPr>
          <w:t>21Vianet Product Availability Definitions</w:t>
        </w:r>
        <w:r w:rsidR="001726A8">
          <w:rPr>
            <w:noProof/>
            <w:webHidden/>
          </w:rPr>
          <w:tab/>
        </w:r>
        <w:r w:rsidR="001726A8">
          <w:rPr>
            <w:noProof/>
            <w:webHidden/>
          </w:rPr>
          <w:fldChar w:fldCharType="begin"/>
        </w:r>
        <w:r w:rsidR="001726A8">
          <w:rPr>
            <w:noProof/>
            <w:webHidden/>
          </w:rPr>
          <w:instrText xml:space="preserve"> PAGEREF _Toc25584032 \h </w:instrText>
        </w:r>
        <w:r w:rsidR="001726A8">
          <w:rPr>
            <w:noProof/>
            <w:webHidden/>
          </w:rPr>
        </w:r>
        <w:r w:rsidR="001726A8">
          <w:rPr>
            <w:noProof/>
            <w:webHidden/>
          </w:rPr>
          <w:fldChar w:fldCharType="separate"/>
        </w:r>
        <w:r w:rsidR="001726A8">
          <w:rPr>
            <w:noProof/>
            <w:webHidden/>
          </w:rPr>
          <w:t>25</w:t>
        </w:r>
        <w:r w:rsidR="001726A8">
          <w:rPr>
            <w:noProof/>
            <w:webHidden/>
          </w:rPr>
          <w:fldChar w:fldCharType="end"/>
        </w:r>
      </w:hyperlink>
    </w:p>
    <w:p w14:paraId="55D2DCD9" w14:textId="424965D8" w:rsidR="001726A8" w:rsidRDefault="00FD1CF2">
      <w:pPr>
        <w:pStyle w:val="TOC1"/>
        <w:tabs>
          <w:tab w:val="right" w:leader="dot" w:pos="5030"/>
        </w:tabs>
        <w:rPr>
          <w:rFonts w:eastAsiaTheme="minorEastAsia"/>
          <w:b w:val="0"/>
          <w:caps w:val="0"/>
          <w:noProof/>
          <w:sz w:val="22"/>
          <w:lang w:eastAsia="zh-CN"/>
        </w:rPr>
      </w:pPr>
      <w:hyperlink w:anchor="_Toc25584033" w:history="1">
        <w:r w:rsidR="001726A8" w:rsidRPr="00C72AF9">
          <w:rPr>
            <w:rStyle w:val="Hyperlink"/>
            <w:noProof/>
          </w:rPr>
          <w:t>Attachment 1 – Notices</w:t>
        </w:r>
        <w:r w:rsidR="001726A8">
          <w:rPr>
            <w:noProof/>
            <w:webHidden/>
          </w:rPr>
          <w:tab/>
        </w:r>
        <w:r w:rsidR="001726A8">
          <w:rPr>
            <w:noProof/>
            <w:webHidden/>
          </w:rPr>
          <w:fldChar w:fldCharType="begin"/>
        </w:r>
        <w:r w:rsidR="001726A8">
          <w:rPr>
            <w:noProof/>
            <w:webHidden/>
          </w:rPr>
          <w:instrText xml:space="preserve"> PAGEREF _Toc25584033 \h </w:instrText>
        </w:r>
        <w:r w:rsidR="001726A8">
          <w:rPr>
            <w:noProof/>
            <w:webHidden/>
          </w:rPr>
        </w:r>
        <w:r w:rsidR="001726A8">
          <w:rPr>
            <w:noProof/>
            <w:webHidden/>
          </w:rPr>
          <w:fldChar w:fldCharType="separate"/>
        </w:r>
        <w:r w:rsidR="001726A8">
          <w:rPr>
            <w:noProof/>
            <w:webHidden/>
          </w:rPr>
          <w:t>27</w:t>
        </w:r>
        <w:r w:rsidR="001726A8">
          <w:rPr>
            <w:noProof/>
            <w:webHidden/>
          </w:rPr>
          <w:fldChar w:fldCharType="end"/>
        </w:r>
      </w:hyperlink>
    </w:p>
    <w:p w14:paraId="156F602E" w14:textId="1609A621" w:rsidR="001726A8" w:rsidRDefault="00FD1CF2">
      <w:pPr>
        <w:pStyle w:val="TOC3"/>
        <w:rPr>
          <w:rFonts w:eastAsiaTheme="minorEastAsia"/>
          <w:b w:val="0"/>
          <w:smallCaps w:val="0"/>
          <w:sz w:val="22"/>
          <w:lang w:eastAsia="zh-CN"/>
        </w:rPr>
      </w:pPr>
      <w:hyperlink w:anchor="_Toc25584034" w:history="1">
        <w:r w:rsidR="001726A8" w:rsidRPr="00C72AF9">
          <w:rPr>
            <w:rStyle w:val="Hyperlink"/>
          </w:rPr>
          <w:t>Bing Maps</w:t>
        </w:r>
        <w:r w:rsidR="001726A8">
          <w:rPr>
            <w:webHidden/>
          </w:rPr>
          <w:tab/>
        </w:r>
        <w:r w:rsidR="001726A8">
          <w:rPr>
            <w:webHidden/>
          </w:rPr>
          <w:fldChar w:fldCharType="begin"/>
        </w:r>
        <w:r w:rsidR="001726A8">
          <w:rPr>
            <w:webHidden/>
          </w:rPr>
          <w:instrText xml:space="preserve"> PAGEREF _Toc25584034 \h </w:instrText>
        </w:r>
        <w:r w:rsidR="001726A8">
          <w:rPr>
            <w:webHidden/>
          </w:rPr>
        </w:r>
        <w:r w:rsidR="001726A8">
          <w:rPr>
            <w:webHidden/>
          </w:rPr>
          <w:fldChar w:fldCharType="separate"/>
        </w:r>
        <w:r w:rsidR="001726A8">
          <w:rPr>
            <w:webHidden/>
          </w:rPr>
          <w:t>27</w:t>
        </w:r>
        <w:r w:rsidR="001726A8">
          <w:rPr>
            <w:webHidden/>
          </w:rPr>
          <w:fldChar w:fldCharType="end"/>
        </w:r>
      </w:hyperlink>
    </w:p>
    <w:p w14:paraId="6CC9750A" w14:textId="5B0C8EE3" w:rsidR="001726A8" w:rsidRDefault="00FD1CF2">
      <w:pPr>
        <w:pStyle w:val="TOC3"/>
        <w:rPr>
          <w:rFonts w:eastAsiaTheme="minorEastAsia"/>
          <w:b w:val="0"/>
          <w:smallCaps w:val="0"/>
          <w:sz w:val="22"/>
          <w:lang w:eastAsia="zh-CN"/>
        </w:rPr>
      </w:pPr>
      <w:hyperlink w:anchor="_Toc25584035" w:history="1">
        <w:r w:rsidR="001726A8" w:rsidRPr="00C72AF9">
          <w:rPr>
            <w:rStyle w:val="Hyperlink"/>
          </w:rPr>
          <w:t>Notice about Azure Media Services H.265/HEVC Encoding</w:t>
        </w:r>
        <w:r w:rsidR="001726A8">
          <w:rPr>
            <w:webHidden/>
          </w:rPr>
          <w:tab/>
        </w:r>
        <w:r w:rsidR="001726A8">
          <w:rPr>
            <w:webHidden/>
          </w:rPr>
          <w:fldChar w:fldCharType="begin"/>
        </w:r>
        <w:r w:rsidR="001726A8">
          <w:rPr>
            <w:webHidden/>
          </w:rPr>
          <w:instrText xml:space="preserve"> PAGEREF _Toc25584035 \h </w:instrText>
        </w:r>
        <w:r w:rsidR="001726A8">
          <w:rPr>
            <w:webHidden/>
          </w:rPr>
        </w:r>
        <w:r w:rsidR="001726A8">
          <w:rPr>
            <w:webHidden/>
          </w:rPr>
          <w:fldChar w:fldCharType="separate"/>
        </w:r>
        <w:r w:rsidR="001726A8">
          <w:rPr>
            <w:webHidden/>
          </w:rPr>
          <w:t>27</w:t>
        </w:r>
        <w:r w:rsidR="001726A8">
          <w:rPr>
            <w:webHidden/>
          </w:rPr>
          <w:fldChar w:fldCharType="end"/>
        </w:r>
      </w:hyperlink>
    </w:p>
    <w:p w14:paraId="079BE08B" w14:textId="403EA9EC" w:rsidR="001726A8" w:rsidRDefault="00FD1CF2">
      <w:pPr>
        <w:pStyle w:val="TOC3"/>
        <w:rPr>
          <w:rFonts w:eastAsiaTheme="minorEastAsia"/>
          <w:b w:val="0"/>
          <w:smallCaps w:val="0"/>
          <w:sz w:val="22"/>
          <w:lang w:eastAsia="zh-CN"/>
        </w:rPr>
      </w:pPr>
      <w:hyperlink w:anchor="_Toc25584036" w:history="1">
        <w:r w:rsidR="001726A8" w:rsidRPr="00C72AF9">
          <w:rPr>
            <w:rStyle w:val="Hyperlink"/>
          </w:rPr>
          <w:t>Notice about H.264/AVC Visual Standard, VC-1 Video Standard, MPEG-4 Part 2 Visual Standard and MPEG-2 Video Standard</w:t>
        </w:r>
        <w:r w:rsidR="001726A8">
          <w:rPr>
            <w:webHidden/>
          </w:rPr>
          <w:tab/>
        </w:r>
        <w:r w:rsidR="001726A8">
          <w:rPr>
            <w:webHidden/>
          </w:rPr>
          <w:fldChar w:fldCharType="begin"/>
        </w:r>
        <w:r w:rsidR="001726A8">
          <w:rPr>
            <w:webHidden/>
          </w:rPr>
          <w:instrText xml:space="preserve"> PAGEREF _Toc25584036 \h </w:instrText>
        </w:r>
        <w:r w:rsidR="001726A8">
          <w:rPr>
            <w:webHidden/>
          </w:rPr>
        </w:r>
        <w:r w:rsidR="001726A8">
          <w:rPr>
            <w:webHidden/>
          </w:rPr>
          <w:fldChar w:fldCharType="separate"/>
        </w:r>
        <w:r w:rsidR="001726A8">
          <w:rPr>
            <w:webHidden/>
          </w:rPr>
          <w:t>27</w:t>
        </w:r>
        <w:r w:rsidR="001726A8">
          <w:rPr>
            <w:webHidden/>
          </w:rPr>
          <w:fldChar w:fldCharType="end"/>
        </w:r>
      </w:hyperlink>
    </w:p>
    <w:p w14:paraId="0201FB28" w14:textId="126B7058" w:rsidR="001726A8" w:rsidRDefault="00FD1CF2">
      <w:pPr>
        <w:pStyle w:val="TOC1"/>
        <w:tabs>
          <w:tab w:val="right" w:leader="dot" w:pos="5030"/>
        </w:tabs>
        <w:rPr>
          <w:rFonts w:eastAsiaTheme="minorEastAsia"/>
          <w:b w:val="0"/>
          <w:caps w:val="0"/>
          <w:noProof/>
          <w:sz w:val="22"/>
          <w:lang w:eastAsia="zh-CN"/>
        </w:rPr>
      </w:pPr>
      <w:hyperlink w:anchor="_Toc25584037" w:history="1">
        <w:r w:rsidR="001726A8" w:rsidRPr="00C72AF9">
          <w:rPr>
            <w:rStyle w:val="Hyperlink"/>
            <w:noProof/>
          </w:rPr>
          <w:t>Attachment 2 – Subscription License Suites</w:t>
        </w:r>
        <w:r w:rsidR="001726A8">
          <w:rPr>
            <w:noProof/>
            <w:webHidden/>
          </w:rPr>
          <w:tab/>
        </w:r>
        <w:r w:rsidR="001726A8">
          <w:rPr>
            <w:noProof/>
            <w:webHidden/>
          </w:rPr>
          <w:fldChar w:fldCharType="begin"/>
        </w:r>
        <w:r w:rsidR="001726A8">
          <w:rPr>
            <w:noProof/>
            <w:webHidden/>
          </w:rPr>
          <w:instrText xml:space="preserve"> PAGEREF _Toc25584037 \h </w:instrText>
        </w:r>
        <w:r w:rsidR="001726A8">
          <w:rPr>
            <w:noProof/>
            <w:webHidden/>
          </w:rPr>
        </w:r>
        <w:r w:rsidR="001726A8">
          <w:rPr>
            <w:noProof/>
            <w:webHidden/>
          </w:rPr>
          <w:fldChar w:fldCharType="separate"/>
        </w:r>
        <w:r w:rsidR="001726A8">
          <w:rPr>
            <w:noProof/>
            <w:webHidden/>
          </w:rPr>
          <w:t>28</w:t>
        </w:r>
        <w:r w:rsidR="001726A8">
          <w:rPr>
            <w:noProof/>
            <w:webHidden/>
          </w:rPr>
          <w:fldChar w:fldCharType="end"/>
        </w:r>
      </w:hyperlink>
    </w:p>
    <w:p w14:paraId="210CEC06" w14:textId="6D9B2628" w:rsidR="001726A8" w:rsidRDefault="00FD1CF2">
      <w:pPr>
        <w:pStyle w:val="TOC1"/>
        <w:tabs>
          <w:tab w:val="right" w:leader="dot" w:pos="5030"/>
        </w:tabs>
        <w:rPr>
          <w:rFonts w:eastAsiaTheme="minorEastAsia"/>
          <w:b w:val="0"/>
          <w:caps w:val="0"/>
          <w:noProof/>
          <w:sz w:val="22"/>
          <w:lang w:eastAsia="zh-CN"/>
        </w:rPr>
      </w:pPr>
      <w:hyperlink w:anchor="_Toc25584038" w:history="1">
        <w:r w:rsidR="001726A8" w:rsidRPr="00C72AF9">
          <w:rPr>
            <w:rStyle w:val="Hyperlink"/>
            <w:noProof/>
          </w:rPr>
          <w:t>Attachment 3 – The Standard Contractual Clauses (Processors)</w:t>
        </w:r>
        <w:r w:rsidR="001726A8">
          <w:rPr>
            <w:noProof/>
            <w:webHidden/>
          </w:rPr>
          <w:tab/>
        </w:r>
        <w:r w:rsidR="001726A8">
          <w:rPr>
            <w:noProof/>
            <w:webHidden/>
          </w:rPr>
          <w:fldChar w:fldCharType="begin"/>
        </w:r>
        <w:r w:rsidR="001726A8">
          <w:rPr>
            <w:noProof/>
            <w:webHidden/>
          </w:rPr>
          <w:instrText xml:space="preserve"> PAGEREF _Toc25584038 \h </w:instrText>
        </w:r>
        <w:r w:rsidR="001726A8">
          <w:rPr>
            <w:noProof/>
            <w:webHidden/>
          </w:rPr>
        </w:r>
        <w:r w:rsidR="001726A8">
          <w:rPr>
            <w:noProof/>
            <w:webHidden/>
          </w:rPr>
          <w:fldChar w:fldCharType="separate"/>
        </w:r>
        <w:r w:rsidR="001726A8">
          <w:rPr>
            <w:noProof/>
            <w:webHidden/>
          </w:rPr>
          <w:t>29</w:t>
        </w:r>
        <w:r w:rsidR="001726A8">
          <w:rPr>
            <w:noProof/>
            <w:webHidden/>
          </w:rPr>
          <w:fldChar w:fldCharType="end"/>
        </w:r>
      </w:hyperlink>
    </w:p>
    <w:p w14:paraId="07C76865" w14:textId="529993B9" w:rsidR="001726A8" w:rsidRDefault="00FD1CF2">
      <w:pPr>
        <w:pStyle w:val="TOC1"/>
        <w:tabs>
          <w:tab w:val="right" w:leader="dot" w:pos="5030"/>
        </w:tabs>
        <w:rPr>
          <w:rFonts w:eastAsiaTheme="minorEastAsia"/>
          <w:b w:val="0"/>
          <w:caps w:val="0"/>
          <w:noProof/>
          <w:sz w:val="22"/>
          <w:lang w:eastAsia="zh-CN"/>
        </w:rPr>
      </w:pPr>
      <w:hyperlink w:anchor="_Toc25584039" w:history="1">
        <w:r w:rsidR="001726A8" w:rsidRPr="00C72AF9">
          <w:rPr>
            <w:rStyle w:val="Hyperlink"/>
            <w:noProof/>
          </w:rPr>
          <w:t>Attachment 4 – European Union General Data Protection Regulation Terms</w:t>
        </w:r>
        <w:r w:rsidR="001726A8">
          <w:rPr>
            <w:noProof/>
            <w:webHidden/>
          </w:rPr>
          <w:tab/>
        </w:r>
        <w:r w:rsidR="001726A8">
          <w:rPr>
            <w:noProof/>
            <w:webHidden/>
          </w:rPr>
          <w:fldChar w:fldCharType="begin"/>
        </w:r>
        <w:r w:rsidR="001726A8">
          <w:rPr>
            <w:noProof/>
            <w:webHidden/>
          </w:rPr>
          <w:instrText xml:space="preserve"> PAGEREF _Toc25584039 \h </w:instrText>
        </w:r>
        <w:r w:rsidR="001726A8">
          <w:rPr>
            <w:noProof/>
            <w:webHidden/>
          </w:rPr>
        </w:r>
        <w:r w:rsidR="001726A8">
          <w:rPr>
            <w:noProof/>
            <w:webHidden/>
          </w:rPr>
          <w:fldChar w:fldCharType="separate"/>
        </w:r>
        <w:r w:rsidR="001726A8">
          <w:rPr>
            <w:noProof/>
            <w:webHidden/>
          </w:rPr>
          <w:t>35</w:t>
        </w:r>
        <w:r w:rsidR="001726A8">
          <w:rPr>
            <w:noProof/>
            <w:webHidden/>
          </w:rPr>
          <w:fldChar w:fldCharType="end"/>
        </w:r>
      </w:hyperlink>
    </w:p>
    <w:p w14:paraId="092C9288" w14:textId="07FC9661"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25583976"/>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5583977"/>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FD1CF2"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25583978"/>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25583979"/>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25583980"/>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25583981"/>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D460F2" w:rsidRPr="00A47BC4" w14:paraId="622C624A" w14:textId="77777777" w:rsidTr="004D4C3B">
        <w:trPr>
          <w:trHeight w:val="53"/>
        </w:trPr>
        <w:tc>
          <w:tcPr>
            <w:tcW w:w="5395" w:type="dxa"/>
            <w:vAlign w:val="bottom"/>
          </w:tcPr>
          <w:p w14:paraId="3AF5A471" w14:textId="70564B5A" w:rsidR="00D460F2" w:rsidRPr="006F7F52" w:rsidRDefault="00D460F2" w:rsidP="00D460F2">
            <w:pPr>
              <w:pStyle w:val="ProductList-Body"/>
              <w:rPr>
                <w:rFonts w:cstheme="minorHAnsi"/>
                <w:sz w:val="16"/>
                <w:szCs w:val="16"/>
              </w:rPr>
            </w:pPr>
          </w:p>
        </w:tc>
        <w:tc>
          <w:tcPr>
            <w:tcW w:w="5395" w:type="dxa"/>
            <w:vAlign w:val="bottom"/>
          </w:tcPr>
          <w:p w14:paraId="7CB2607C" w14:textId="3DAA1715" w:rsidR="00D460F2" w:rsidRPr="00E92AA5" w:rsidRDefault="00D460F2" w:rsidP="00D460F2">
            <w:pPr>
              <w:pStyle w:val="ProductList-Body"/>
              <w:rPr>
                <w:rFonts w:cstheme="minorHAnsi"/>
                <w:sz w:val="16"/>
                <w:szCs w:val="16"/>
              </w:rPr>
            </w:pPr>
          </w:p>
        </w:tc>
      </w:tr>
    </w:tbl>
    <w:p w14:paraId="268A5D85" w14:textId="77777777" w:rsidR="00C624ED" w:rsidRPr="00E75EA3" w:rsidRDefault="00C624ED" w:rsidP="00A914BF">
      <w:pPr>
        <w:pStyle w:val="ProductList-Body"/>
      </w:pPr>
    </w:p>
    <w:p w14:paraId="585D792A" w14:textId="77777777" w:rsidR="00FC1BA7" w:rsidRPr="00E75EA3" w:rsidRDefault="00FC1BA7" w:rsidP="00774CF6">
      <w:pPr>
        <w:pStyle w:val="ProductList-Body"/>
        <w:tabs>
          <w:tab w:val="left" w:pos="360"/>
        </w:tabs>
        <w:rPr>
          <w:color w:val="000000" w:themeColor="text1"/>
        </w:rPr>
      </w:pPr>
    </w:p>
    <w:p w14:paraId="41B56DE4" w14:textId="77777777" w:rsidR="009C4E93" w:rsidRDefault="009C4E93" w:rsidP="009542DD">
      <w:pPr>
        <w:pStyle w:val="ProductList-Body"/>
      </w:pPr>
    </w:p>
    <w:p w14:paraId="1A34CE2F" w14:textId="77777777" w:rsidR="00A3228C" w:rsidRDefault="00A3228C" w:rsidP="00A3228C">
      <w:pPr>
        <w:pStyle w:val="ProductList-ClauseHeading"/>
      </w:pPr>
      <w:r>
        <w:t>Online Service Specific Terms</w:t>
      </w:r>
    </w:p>
    <w:p w14:paraId="074A820E" w14:textId="2C6DB139" w:rsidR="0050677E" w:rsidRDefault="0050677E" w:rsidP="0050677E">
      <w:pPr>
        <w:pStyle w:val="ProductList-ClauseHeading"/>
        <w:keepNext w:val="0"/>
        <w:tabs>
          <w:tab w:val="clear" w:pos="360"/>
          <w:tab w:val="clear" w:pos="720"/>
          <w:tab w:val="clear" w:pos="1080"/>
          <w:tab w:val="left" w:pos="158"/>
        </w:tabs>
        <w:rPr>
          <w:b w:val="0"/>
          <w:color w:val="auto"/>
          <w:szCs w:val="22"/>
        </w:rPr>
      </w:pPr>
      <w:r w:rsidRPr="00437060">
        <w:rPr>
          <w:b w:val="0"/>
          <w:color w:val="auto"/>
          <w:szCs w:val="22"/>
        </w:rPr>
        <w:t>Office 365 Applications</w:t>
      </w:r>
      <w:r>
        <w:rPr>
          <w:b w:val="0"/>
          <w:color w:val="auto"/>
          <w:szCs w:val="22"/>
        </w:rPr>
        <w:t>: Updated the Smartphones and Tablet Devices clause for clarity. No change to licensing rules for Office and Outlook for mobile devices.</w:t>
      </w:r>
    </w:p>
    <w:p w14:paraId="31335AF2" w14:textId="4B86F570" w:rsidR="00A3228C" w:rsidRDefault="00035F9A" w:rsidP="009542DD">
      <w:pPr>
        <w:pStyle w:val="ProductList-Body"/>
      </w:pPr>
      <w:r w:rsidRPr="006A30F8">
        <w:t>Microsoft Dynamics 365 Services</w:t>
      </w:r>
      <w:r>
        <w:t>: Updated entry in support of the Dynamics 365 October 2019 updates.</w:t>
      </w:r>
    </w:p>
    <w:p w14:paraId="5126FD44" w14:textId="77777777" w:rsidR="00877478" w:rsidRDefault="00877478" w:rsidP="009542DD">
      <w:pPr>
        <w:pStyle w:val="ProductList-Body"/>
      </w:pPr>
    </w:p>
    <w:p w14:paraId="6B77EA61" w14:textId="46C37ECD" w:rsidR="00730B3A" w:rsidRPr="00E75EA3" w:rsidRDefault="00936D65" w:rsidP="00C91713">
      <w:pPr>
        <w:pStyle w:val="ProductList-SectionHeading"/>
        <w:outlineLvl w:val="0"/>
      </w:pPr>
      <w:bookmarkStart w:id="19" w:name="_Toc487133995"/>
      <w:bookmarkStart w:id="20" w:name="_Toc25583982"/>
      <w:bookmarkStart w:id="21" w:name="Definitions"/>
      <w:r w:rsidRPr="00E75EA3">
        <w:t>Definitions</w:t>
      </w:r>
      <w:bookmarkEnd w:id="19"/>
      <w:bookmarkEnd w:id="20"/>
    </w:p>
    <w:bookmarkEnd w:id="21"/>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lastRenderedPageBreak/>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25583983"/>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_Toc25583984"/>
      <w:bookmarkStart w:id="26" w:name="OnlineServicesChanges"/>
      <w:r w:rsidRPr="00E75EA3">
        <w:t xml:space="preserve">Licensing the </w:t>
      </w:r>
      <w:r w:rsidR="00541996" w:rsidRPr="00E75EA3">
        <w:t>Online Services</w:t>
      </w:r>
      <w:bookmarkEnd w:id="25"/>
    </w:p>
    <w:bookmarkEnd w:id="26"/>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25583985"/>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25583986"/>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25583987"/>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25583988"/>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Toc25583989"/>
      <w:bookmarkStart w:id="33" w:name="_Hlk512852734"/>
      <w:r w:rsidRPr="00E75EA3">
        <w:t>Font Components</w:t>
      </w:r>
      <w:bookmarkEnd w:id="32"/>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3"/>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_Toc25583990"/>
      <w:bookmarkStart w:id="35" w:name="NonMicrosoftProducts"/>
      <w:r w:rsidRPr="00E75EA3">
        <w:t>Changes to and Availability of the Online Services</w:t>
      </w:r>
      <w:bookmarkEnd w:id="34"/>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25583991"/>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25583992"/>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25583993"/>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5"/>
      <w:bookmarkEnd w:id="39"/>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0" w:name="GeneralTerms_Previews"/>
      <w:r w:rsidRPr="0006694D">
        <w:rPr>
          <w:b/>
          <w:color w:val="0072C6"/>
        </w:rPr>
        <w:t>Previews</w:t>
      </w:r>
    </w:p>
    <w:bookmarkEnd w:id="40"/>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1" w:name="_Toc487134008"/>
      <w:bookmarkStart w:id="42" w:name="CompetitiveBenchmarking"/>
      <w:r w:rsidRPr="003548A6">
        <w:rPr>
          <w:b/>
          <w:color w:val="0072C6"/>
        </w:rPr>
        <w:t>Competitive Benchmarking</w:t>
      </w:r>
      <w:bookmarkEnd w:id="41"/>
      <w:bookmarkEnd w:id="42"/>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3"/>
          <w:footerReference w:type="first" r:id="rId24"/>
          <w:pgSz w:w="12240" w:h="15840"/>
          <w:pgMar w:top="1440" w:right="720" w:bottom="1440" w:left="720" w:header="720" w:footer="720" w:gutter="0"/>
          <w:cols w:space="720"/>
          <w:titlePg/>
          <w:docGrid w:linePitch="360"/>
        </w:sectPr>
      </w:pPr>
      <w:bookmarkStart w:id="43" w:name="_Toc487134010"/>
    </w:p>
    <w:p w14:paraId="38E381EB" w14:textId="77777777" w:rsidR="00FD5CB1" w:rsidRDefault="00FD5CB1" w:rsidP="00626CA1">
      <w:pPr>
        <w:pStyle w:val="ProductList-Body"/>
        <w:spacing w:before="240"/>
        <w:ind w:left="180"/>
        <w:outlineLvl w:val="2"/>
        <w:rPr>
          <w:b/>
          <w:bCs/>
          <w:color w:val="0072C6"/>
        </w:rPr>
      </w:pPr>
      <w:bookmarkStart w:id="44" w:name="GeneralTerms_GovCustomers"/>
      <w:bookmarkStart w:id="45" w:name="PrivacyandSecurityTerms"/>
      <w:r>
        <w:rPr>
          <w:b/>
          <w:bCs/>
          <w:color w:val="0072C6"/>
        </w:rPr>
        <w:t>Government Customers</w:t>
      </w:r>
    </w:p>
    <w:bookmarkEnd w:id="44"/>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6" w:name="_Toc25583994"/>
      <w:r w:rsidRPr="00E75EA3">
        <w:lastRenderedPageBreak/>
        <w:t>Data Protection</w:t>
      </w:r>
      <w:r w:rsidR="000E6ED8" w:rsidRPr="00E75EA3">
        <w:t xml:space="preserve"> Terms</w:t>
      </w:r>
      <w:bookmarkEnd w:id="43"/>
      <w:bookmarkEnd w:id="45"/>
      <w:bookmarkEnd w:id="4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7" w:name="_Toc487134012"/>
      <w:r w:rsidRPr="00E75EA3">
        <w:t>Scope</w:t>
      </w:r>
      <w:bookmarkEnd w:id="4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8" w:name="_Toc25583995"/>
      <w:r w:rsidRPr="003548A6">
        <w:t>Scope</w:t>
      </w:r>
      <w:bookmarkEnd w:id="4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9" w:name="_Toc25583996"/>
      <w:r w:rsidRPr="003548A6">
        <w:t>Processing o</w:t>
      </w:r>
      <w:r w:rsidR="00C94E0D" w:rsidRPr="003548A6">
        <w:t>f</w:t>
      </w:r>
      <w:r w:rsidRPr="003548A6">
        <w:t xml:space="preserve"> Customer Data; Ownership</w:t>
      </w:r>
      <w:bookmarkEnd w:id="4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50" w:name="_Toc487134014"/>
      <w:bookmarkStart w:id="51" w:name="_Toc25583997"/>
      <w:r w:rsidRPr="003548A6">
        <w:t>Disclosure of Customer Data</w:t>
      </w:r>
      <w:bookmarkEnd w:id="50"/>
      <w:r w:rsidR="0013329F" w:rsidRPr="0013329F">
        <w:t xml:space="preserve"> </w:t>
      </w:r>
      <w:r w:rsidR="0013329F">
        <w:t>and Personal Data</w:t>
      </w:r>
      <w:bookmarkEnd w:id="51"/>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2" w:name="_Toc25583998"/>
      <w:r w:rsidRPr="00E75EA3">
        <w:t>Processing of Personal Data; GDPR</w:t>
      </w:r>
      <w:bookmarkEnd w:id="5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3" w:name="_Toc25583999"/>
      <w:r w:rsidRPr="00E75EA3">
        <w:t>Data Security</w:t>
      </w:r>
      <w:bookmarkEnd w:id="5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4"/>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5" w:name="_Toc25584000"/>
      <w:r w:rsidRPr="00E75EA3">
        <w:t>Security Incident Notification</w:t>
      </w:r>
      <w:bookmarkEnd w:id="55"/>
    </w:p>
    <w:p w14:paraId="2B8E729F" w14:textId="036542A3" w:rsidR="006A7F69" w:rsidRPr="00E75EA3" w:rsidRDefault="00C15846" w:rsidP="1A67E690">
      <w:pPr>
        <w:pStyle w:val="ProductList-Body"/>
      </w:pPr>
      <w:bookmarkStart w:id="5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7" w:name="_Toc25584001"/>
      <w:r w:rsidRPr="00E75EA3">
        <w:t>Data Location</w:t>
      </w:r>
      <w:bookmarkEnd w:id="57"/>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8" w:name="_Toc25584002"/>
      <w:r w:rsidRPr="00E75EA3">
        <w:t xml:space="preserve">Data </w:t>
      </w:r>
      <w:r w:rsidR="003E265E" w:rsidRPr="00E75EA3">
        <w:t>Retention and Deletion</w:t>
      </w:r>
      <w:bookmarkEnd w:id="5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9" w:name="_Toc25584003"/>
      <w:r w:rsidRPr="00E75EA3">
        <w:t>Processor Confidential</w:t>
      </w:r>
      <w:r w:rsidR="003D2BA6" w:rsidRPr="00E75EA3">
        <w:t>ity Commitment</w:t>
      </w:r>
      <w:bookmarkEnd w:id="5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0" w:name="_Toc25584004"/>
      <w:r w:rsidRPr="00E75EA3">
        <w:t xml:space="preserve">Notice and Controls on use of </w:t>
      </w:r>
      <w:r w:rsidRPr="0050689F">
        <w:t>Subprocessors</w:t>
      </w:r>
      <w:bookmarkEnd w:id="60"/>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1" w:name="_Toc25584005"/>
      <w:r w:rsidRPr="00E75EA3">
        <w:t xml:space="preserve">How to Contact </w:t>
      </w:r>
      <w:r w:rsidR="00E57957" w:rsidRPr="00E75EA3">
        <w:t>21Vianet</w:t>
      </w:r>
      <w:bookmarkEnd w:id="6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3"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12-14F, Building 6, No.6 Jiuxianqiao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2" w:name="_Toc431459514"/>
      <w:bookmarkStart w:id="63" w:name="DataProcessingTerms"/>
    </w:p>
    <w:p w14:paraId="1D153D98" w14:textId="03CB80E5" w:rsidR="00E805EA" w:rsidRPr="00E75EA3" w:rsidRDefault="00E805EA" w:rsidP="1A67E690">
      <w:pPr>
        <w:pStyle w:val="ProductList-SectionHeading"/>
        <w:tabs>
          <w:tab w:val="center" w:pos="5400"/>
        </w:tabs>
        <w:spacing w:after="0"/>
        <w:outlineLvl w:val="0"/>
      </w:pPr>
      <w:bookmarkStart w:id="64" w:name="_Toc25584006"/>
      <w:bookmarkStart w:id="65" w:name="AppendixA_CoreOnlineServices"/>
      <w:r w:rsidRPr="00E75EA3">
        <w:lastRenderedPageBreak/>
        <w:t>Appendix A – Core Online Services</w:t>
      </w:r>
      <w:bookmarkEnd w:id="64"/>
    </w:p>
    <w:bookmarkEnd w:id="6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2"/>
      <w:bookmarkEnd w:id="6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7EDD88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7"/>
            <w:r w:rsidR="00256427" w:rsidRPr="00A76ED1">
              <w:rPr>
                <w:sz w:val="16"/>
                <w:szCs w:val="16"/>
              </w:rPr>
              <w:t>.</w:t>
            </w:r>
            <w:r w:rsidR="00256427" w:rsidRPr="00E75EA3">
              <w:rPr>
                <w:sz w:val="16"/>
                <w:szCs w:val="16"/>
              </w:rPr>
              <w:t xml:space="preserve"> Office 365 Services do not include Office 365 ProPlus</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8" w:name="MicrosoftAzureCoreServices"/>
            <w:r w:rsidRPr="00E75EA3">
              <w:rPr>
                <w:sz w:val="16"/>
                <w:szCs w:val="16"/>
              </w:rPr>
              <w:t>Microsoft Azure Core Services</w:t>
            </w:r>
            <w:bookmarkEnd w:id="6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9" w:name="AppendixB_SecurityMeasures"/>
      <w:bookmarkStart w:id="70" w:name="_Toc25584007"/>
      <w:bookmarkStart w:id="71" w:name="DataProcessingTerms_DataatRest"/>
      <w:r w:rsidRPr="00E75EA3">
        <w:t>Appendix B – Security Measures</w:t>
      </w:r>
      <w:bookmarkEnd w:id="69"/>
      <w:bookmarkEnd w:id="70"/>
    </w:p>
    <w:bookmarkEnd w:id="7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2" w:name="_Toc487134028"/>
      <w:bookmarkStart w:id="73" w:name="_Toc25584008"/>
      <w:bookmarkStart w:id="74"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72"/>
      <w:bookmarkEnd w:id="73"/>
    </w:p>
    <w:bookmarkEnd w:id="74"/>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5" w:name="MicrosoftAzureServices"/>
      <w:bookmarkStart w:id="76" w:name="_Toc487134029"/>
      <w:bookmarkStart w:id="77" w:name="_Toc25584009"/>
      <w:r w:rsidRPr="005131E6">
        <w:t>Microsoft Azure Services</w:t>
      </w:r>
      <w:bookmarkEnd w:id="75"/>
      <w:bookmarkEnd w:id="76"/>
      <w:bookmarkEnd w:id="7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4"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5"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8" w:name="_Toc25584010"/>
      <w:r w:rsidR="00F52AC4">
        <w:t>21Vianet Compute Pre-Purchase (CPP)</w:t>
      </w:r>
      <w:bookmarkEnd w:id="78"/>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9" w:name="_Toc487134030"/>
      <w:bookmarkStart w:id="80" w:name="_Toc25584011"/>
      <w:bookmarkStart w:id="81" w:name="MicrosoftTranslator"/>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subprocessor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2" w:name="_Toc534135343"/>
      <w:bookmarkStart w:id="83" w:name="_Toc510880772"/>
      <w:bookmarkStart w:id="84" w:name="_Toc25584012"/>
      <w:r>
        <w:t>Cognitive Services</w:t>
      </w:r>
      <w:bookmarkEnd w:id="82"/>
      <w:bookmarkEnd w:id="83"/>
      <w:bookmarkEnd w:id="84"/>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1"/>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5" w:name="EMS"/>
      <w:bookmarkStart w:id="86" w:name="_Toc487134032"/>
      <w:bookmarkStart w:id="87" w:name="_Toc25584013"/>
      <w:r w:rsidRPr="00E75EA3">
        <w:t>Microsoft Azure Plans</w:t>
      </w:r>
      <w:bookmarkEnd w:id="85"/>
      <w:bookmarkEnd w:id="86"/>
      <w:bookmarkEnd w:id="87"/>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8" w:name="AzureActiveDirectoryBasic"/>
      <w:bookmarkStart w:id="89" w:name="_Toc487134033"/>
      <w:bookmarkStart w:id="90" w:name="_Toc25584014"/>
      <w:r w:rsidRPr="00E75EA3">
        <w:t xml:space="preserve">Azure </w:t>
      </w:r>
      <w:r w:rsidR="00D0302B" w:rsidRPr="00E75EA3">
        <w:t xml:space="preserve">Active </w:t>
      </w:r>
      <w:r w:rsidRPr="00E75EA3">
        <w:t>Directory Basic</w:t>
      </w:r>
      <w:bookmarkEnd w:id="88"/>
      <w:bookmarkEnd w:id="89"/>
      <w:bookmarkEnd w:id="90"/>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1" w:name="AzureActiveDirectoryPermium"/>
      <w:bookmarkStart w:id="92" w:name="_Toc6563824"/>
      <w:bookmarkStart w:id="93" w:name="_Toc13858376"/>
      <w:bookmarkStart w:id="94" w:name="_Toc25584015"/>
      <w:r w:rsidRPr="00A8327A">
        <w:t>Azure Active Directory Premium</w:t>
      </w:r>
      <w:bookmarkEnd w:id="91"/>
      <w:bookmarkEnd w:id="92"/>
      <w:bookmarkEnd w:id="93"/>
      <w:bookmarkEnd w:id="94"/>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5" w:name="OLE_LINK2"/>
      <w:bookmarkStart w:id="96" w:name="OLE_LINK3"/>
      <w:r w:rsidRPr="004919C8">
        <w:t>External User Allowance</w:t>
      </w:r>
    </w:p>
    <w:bookmarkEnd w:id="95"/>
    <w:bookmarkEnd w:id="96"/>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7" w:name="Dynamics365"/>
      <w:bookmarkStart w:id="98" w:name="_Toc524436945"/>
      <w:bookmarkStart w:id="99" w:name="_Toc536520064"/>
      <w:bookmarkStart w:id="100" w:name="_Toc25584016"/>
      <w:r w:rsidRPr="00016C2F">
        <w:t>Microsoft Dynamics 365 Services</w:t>
      </w:r>
      <w:bookmarkEnd w:id="97"/>
      <w:bookmarkEnd w:id="98"/>
      <w:bookmarkEnd w:id="99"/>
      <w:bookmarkEnd w:id="100"/>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6"/>
          <w:headerReference w:type="default" r:id="rId37"/>
          <w:footerReference w:type="default" r:id="rId38"/>
          <w:headerReference w:type="first" r:id="rId39"/>
          <w:footerReference w:type="first" r:id="rId40"/>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1"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7937A64B" w14:textId="46332E74" w:rsidR="00E24E2D" w:rsidRDefault="00E24E2D" w:rsidP="00E24E2D">
      <w:pPr>
        <w:spacing w:after="0" w:line="240" w:lineRule="auto"/>
        <w:rPr>
          <w:rFonts w:ascii="Calibri" w:eastAsia="Times New Roman" w:hAnsi="Calibri" w:cs="Calibri"/>
          <w:bCs/>
          <w:color w:val="000000"/>
          <w:sz w:val="18"/>
          <w:szCs w:val="18"/>
        </w:rPr>
      </w:pP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1" w:name="O365Services"/>
      <w:bookmarkStart w:id="102" w:name="_Toc487134037"/>
      <w:bookmarkStart w:id="103" w:name="_Toc25584017"/>
      <w:r w:rsidRPr="00E75EA3">
        <w:lastRenderedPageBreak/>
        <w:t>Office 365 Services</w:t>
      </w:r>
      <w:bookmarkEnd w:id="101"/>
      <w:bookmarkEnd w:id="102"/>
      <w:bookmarkEnd w:id="103"/>
    </w:p>
    <w:p w14:paraId="78B5ADA0" w14:textId="77777777" w:rsidR="009427A1" w:rsidRPr="00E75EA3" w:rsidRDefault="009427A1" w:rsidP="009427A1">
      <w:pPr>
        <w:pStyle w:val="ProductList-Body"/>
        <w:rPr>
          <w:b/>
          <w:color w:val="00188F"/>
        </w:rPr>
      </w:pPr>
      <w:bookmarkStart w:id="104" w:name="CoreFeaturesforOffice365Services"/>
      <w:r w:rsidRPr="00E75EA3">
        <w:rPr>
          <w:b/>
          <w:color w:val="00188F"/>
        </w:rPr>
        <w:t>Core Features for Office 365 Services</w:t>
      </w:r>
    </w:p>
    <w:bookmarkEnd w:id="104"/>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5" w:name="ExchangeOnline"/>
      <w:bookmarkStart w:id="106" w:name="_Toc487134038"/>
      <w:bookmarkStart w:id="107" w:name="_Toc25584018"/>
      <w:r w:rsidRPr="00E75EA3">
        <w:t>Exchange Online</w:t>
      </w:r>
      <w:bookmarkEnd w:id="105"/>
      <w:bookmarkEnd w:id="106"/>
      <w:bookmarkEnd w:id="107"/>
    </w:p>
    <w:p w14:paraId="504B85AD" w14:textId="77777777" w:rsidR="00C72BDA" w:rsidRPr="00E75EA3" w:rsidRDefault="00C72BDA" w:rsidP="00C91713">
      <w:pPr>
        <w:pStyle w:val="ProductList-Offering1"/>
        <w:sectPr w:rsidR="00C72BDA" w:rsidRPr="00E75EA3" w:rsidSect="00A60F2D">
          <w:footerReference w:type="default" r:id="rId42"/>
          <w:footerReference w:type="first" r:id="rId43"/>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(i)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8" w:name="_Hlk486589626"/>
    </w:p>
    <w:bookmarkEnd w:id="108"/>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9" w:name="O365Applications"/>
      <w:bookmarkStart w:id="110" w:name="_Toc487134039"/>
      <w:bookmarkStart w:id="111" w:name="_Toc25584019"/>
      <w:r w:rsidRPr="00E75EA3">
        <w:t>Office 365 Applications</w:t>
      </w:r>
      <w:bookmarkEnd w:id="109"/>
      <w:bookmarkEnd w:id="110"/>
      <w:bookmarkEnd w:id="111"/>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Office 365 ProPlus</w:t>
      </w:r>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4"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Office 365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ProPlus.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B9CA86A" w:rsidR="009427A1" w:rsidRPr="00E75EA3" w:rsidRDefault="009427A1" w:rsidP="00C91713">
      <w:pPr>
        <w:pStyle w:val="ProductList-Body"/>
      </w:pPr>
      <w:r w:rsidRPr="008A608A">
        <w:t xml:space="preserve">Each user to whom Customer assigns </w:t>
      </w:r>
      <w:r w:rsidR="00644D99">
        <w:t>an Office 365 Business o</w:t>
      </w:r>
      <w:r w:rsidR="00D553E9">
        <w:t>r</w:t>
      </w:r>
      <w:r w:rsidR="00644D99">
        <w:t xml:space="preserve"> Office 365 ProPlus</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The following terms apply only to Office 365 ProPlus</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The commercial use restriction for Office Home &amp; Student 2013 RT is waived for each Office 365 ProPlus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ProPlus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ProPlus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2" w:name="_Toc487134041"/>
      <w:bookmarkStart w:id="113" w:name="_Toc25584020"/>
      <w:r w:rsidRPr="00E75EA3">
        <w:t>Office Online</w:t>
      </w:r>
      <w:bookmarkEnd w:id="112"/>
      <w:bookmarkEnd w:id="113"/>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4" w:name="_Toc487134042"/>
      <w:bookmarkStart w:id="115" w:name="_Toc25584021"/>
      <w:r w:rsidRPr="00E75EA3">
        <w:t>OneDrive for Business</w:t>
      </w:r>
      <w:bookmarkEnd w:id="114"/>
      <w:bookmarkEnd w:id="115"/>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16" w:name="_Toc487134043"/>
      <w:bookmarkStart w:id="117" w:name="_Toc25584022"/>
      <w:bookmarkStart w:id="118" w:name="ProjectOnline"/>
      <w:r w:rsidRPr="00E75EA3">
        <w:t>Project Online</w:t>
      </w:r>
      <w:bookmarkEnd w:id="116"/>
      <w:bookmarkEnd w:id="117"/>
    </w:p>
    <w:bookmarkEnd w:id="118"/>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9" w:name="_Toc487134044"/>
      <w:bookmarkStart w:id="120"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1" w:name="_Toc25584023"/>
      <w:r w:rsidRPr="00E75EA3">
        <w:t>SharePoint Online</w:t>
      </w:r>
      <w:bookmarkEnd w:id="119"/>
      <w:bookmarkEnd w:id="120"/>
      <w:bookmarkEnd w:id="121"/>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2" w:name="SkypeforBusinessOnline"/>
      <w:bookmarkStart w:id="123" w:name="_Toc487134045"/>
      <w:bookmarkStart w:id="124" w:name="_Toc25584024"/>
      <w:r w:rsidRPr="00E75EA3">
        <w:t xml:space="preserve">Skype for Business </w:t>
      </w:r>
      <w:r w:rsidR="0081293D" w:rsidRPr="00E75EA3">
        <w:t>Online</w:t>
      </w:r>
      <w:bookmarkEnd w:id="122"/>
      <w:bookmarkEnd w:id="123"/>
      <w:bookmarkEnd w:id="124"/>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5" w:name="OtherOnlineServices"/>
      <w:bookmarkStart w:id="126" w:name="_Toc487134047"/>
      <w:bookmarkStart w:id="127" w:name="_Toc25584025"/>
      <w:r w:rsidRPr="00E75EA3">
        <w:t>Other Online Services</w:t>
      </w:r>
      <w:bookmarkStart w:id="128" w:name="MicrosoftLearning"/>
      <w:bookmarkEnd w:id="125"/>
      <w:bookmarkEnd w:id="126"/>
      <w:bookmarkEnd w:id="127"/>
    </w:p>
    <w:p w14:paraId="46B2C688" w14:textId="77777777" w:rsidR="00DC029C" w:rsidRPr="00E34F6D" w:rsidRDefault="00DC029C" w:rsidP="00DC029C">
      <w:pPr>
        <w:pStyle w:val="ProductList-Offering2Heading"/>
        <w:outlineLvl w:val="2"/>
        <w:rPr>
          <w:b w:val="0"/>
          <w:color w:val="000000" w:themeColor="text1"/>
          <w:sz w:val="8"/>
          <w:szCs w:val="8"/>
        </w:rPr>
      </w:pPr>
      <w:bookmarkStart w:id="129" w:name="_Toc25584026"/>
      <w:bookmarkStart w:id="130" w:name="_Toc487134057"/>
      <w:bookmarkEnd w:id="128"/>
      <w:r w:rsidRPr="00E34F6D">
        <w:t>Microsoft Power BI</w:t>
      </w:r>
      <w:bookmarkEnd w:id="129"/>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Pr="00E34F6D"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20F01013" w14:textId="77777777" w:rsidR="00DC029C" w:rsidRPr="00E34F6D" w:rsidRDefault="00DC029C" w:rsidP="00DC029C">
      <w:pPr>
        <w:pStyle w:val="ProductList-Body"/>
        <w:rPr>
          <w:lang w:eastAsia="zh-CN"/>
        </w:rPr>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3057353C" w:rsidR="00844DB9" w:rsidRPr="00E75EA3" w:rsidRDefault="00844DB9" w:rsidP="00844DB9">
      <w:pPr>
        <w:pStyle w:val="ProductList-SectionHeading"/>
        <w:outlineLvl w:val="0"/>
      </w:pPr>
      <w:bookmarkStart w:id="131" w:name="_Toc25584027"/>
      <w:r w:rsidRPr="00E75EA3">
        <w:lastRenderedPageBreak/>
        <w:t>21Vianet Online Services Product Availability</w:t>
      </w:r>
      <w:bookmarkEnd w:id="131"/>
      <w:r w:rsidR="0024574B">
        <w:t xml:space="preserve"> (OSPA)</w:t>
      </w:r>
    </w:p>
    <w:p w14:paraId="71DB0BD8" w14:textId="3A7444BD" w:rsidR="00844DB9" w:rsidRPr="00E75EA3" w:rsidRDefault="00844DB9" w:rsidP="00844DB9">
      <w:pPr>
        <w:pStyle w:val="ProductList-SubSubSectionHeading"/>
        <w:outlineLvl w:val="1"/>
      </w:pPr>
      <w:bookmarkStart w:id="132" w:name="_Toc25584028"/>
      <w:r w:rsidRPr="00E75EA3">
        <w:t>Microsoft Azure</w:t>
      </w:r>
      <w:bookmarkEnd w:id="132"/>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5"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3" w:name="_Toc25584029"/>
      <w:r w:rsidRPr="00727043">
        <w:t xml:space="preserve">Microsoft </w:t>
      </w:r>
      <w:r w:rsidR="00B17FD5" w:rsidRPr="00727043">
        <w:t>Dynamics 365</w:t>
      </w:r>
      <w:bookmarkEnd w:id="133"/>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9906FA">
        <w:trPr>
          <w:trHeight w:val="3571"/>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738F0409"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for Customer Service </w:t>
            </w:r>
          </w:p>
          <w:p w14:paraId="76364444" w14:textId="509ABE7C"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for Sales </w:t>
            </w:r>
          </w:p>
          <w:p w14:paraId="1AE5ED9A" w14:textId="7777777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for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77777777" w:rsidR="006F08BD" w:rsidRPr="009906FA" w:rsidRDefault="003459F0" w:rsidP="00377936">
            <w:pPr>
              <w:pStyle w:val="ListParagraph"/>
              <w:numPr>
                <w:ilvl w:val="1"/>
                <w:numId w:val="12"/>
              </w:numPr>
              <w:rPr>
                <w:rFonts w:cs="Tahoma"/>
                <w:sz w:val="18"/>
                <w:szCs w:val="18"/>
              </w:rPr>
            </w:pPr>
            <w:r>
              <w:rPr>
                <w:rFonts w:hint="eastAsia"/>
                <w:sz w:val="18"/>
                <w:szCs w:val="18"/>
              </w:rPr>
              <w:t>Dynamics 365 for F</w:t>
            </w:r>
            <w:r>
              <w:rPr>
                <w:rFonts w:ascii="DengXian" w:eastAsia="DengXian" w:hAnsi="DengXian" w:hint="eastAsia"/>
                <w:sz w:val="18"/>
                <w:szCs w:val="18"/>
              </w:rPr>
              <w:t>in</w:t>
            </w:r>
          </w:p>
          <w:p w14:paraId="77576A37" w14:textId="67D09F75" w:rsidR="003459F0" w:rsidRPr="00291FE4" w:rsidRDefault="003459F0" w:rsidP="00377936">
            <w:pPr>
              <w:pStyle w:val="ListParagraph"/>
              <w:numPr>
                <w:ilvl w:val="1"/>
                <w:numId w:val="12"/>
              </w:numPr>
              <w:rPr>
                <w:rFonts w:cs="Tahoma"/>
                <w:sz w:val="18"/>
                <w:szCs w:val="18"/>
              </w:rPr>
            </w:pPr>
            <w:r>
              <w:rPr>
                <w:rFonts w:hint="eastAsia"/>
                <w:sz w:val="18"/>
                <w:szCs w:val="18"/>
              </w:rPr>
              <w:t>Dynamics 365 for SCM</w:t>
            </w:r>
          </w:p>
        </w:tc>
        <w:tc>
          <w:tcPr>
            <w:tcW w:w="5220" w:type="dxa"/>
            <w:tcBorders>
              <w:top w:val="nil"/>
              <w:left w:val="single" w:sz="8" w:space="0" w:color="auto"/>
              <w:bottom w:val="single" w:sz="4" w:space="0" w:color="auto"/>
              <w:right w:val="single" w:sz="8" w:space="0" w:color="auto"/>
            </w:tcBorders>
          </w:tcPr>
          <w:p w14:paraId="2F953234" w14:textId="2C567B5F" w:rsidR="0082014E" w:rsidRPr="002F7D52" w:rsidRDefault="00B17FD5" w:rsidP="002F7D52">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5A27452A" w:rsidR="0082014E" w:rsidRPr="009906FA" w:rsidRDefault="0082014E" w:rsidP="009906FA">
            <w:pPr>
              <w:numPr>
                <w:ilvl w:val="1"/>
                <w:numId w:val="12"/>
              </w:numPr>
              <w:spacing w:before="120" w:after="0" w:line="240" w:lineRule="auto"/>
              <w:rPr>
                <w:rFonts w:cs="Tahoma"/>
                <w:sz w:val="18"/>
                <w:szCs w:val="18"/>
              </w:rPr>
            </w:pPr>
            <w:r w:rsidRPr="009906FA">
              <w:rPr>
                <w:sz w:val="18"/>
                <w:szCs w:val="18"/>
              </w:rPr>
              <w:t xml:space="preserve">Dynamics 365 for Sales attach </w:t>
            </w:r>
          </w:p>
          <w:p w14:paraId="0AE0F1F9" w14:textId="4D4D4662" w:rsidR="0082014E" w:rsidRPr="009906FA" w:rsidRDefault="0082014E" w:rsidP="009906FA">
            <w:pPr>
              <w:numPr>
                <w:ilvl w:val="1"/>
                <w:numId w:val="12"/>
              </w:numPr>
              <w:spacing w:before="120" w:after="0" w:line="240" w:lineRule="auto"/>
              <w:rPr>
                <w:sz w:val="18"/>
                <w:szCs w:val="18"/>
              </w:rPr>
            </w:pPr>
            <w:r>
              <w:rPr>
                <w:sz w:val="18"/>
                <w:szCs w:val="18"/>
              </w:rPr>
              <w:t xml:space="preserve">Dynamics 365 for Customer Service attach </w:t>
            </w:r>
          </w:p>
          <w:p w14:paraId="72AFA649" w14:textId="01250EDE" w:rsidR="0082014E" w:rsidRPr="009906FA" w:rsidRDefault="0082014E" w:rsidP="009906FA">
            <w:pPr>
              <w:numPr>
                <w:ilvl w:val="1"/>
                <w:numId w:val="12"/>
              </w:numPr>
              <w:spacing w:before="120" w:after="0" w:line="240" w:lineRule="auto"/>
              <w:rPr>
                <w:sz w:val="18"/>
                <w:szCs w:val="18"/>
              </w:rPr>
            </w:pPr>
            <w:r>
              <w:rPr>
                <w:sz w:val="18"/>
                <w:szCs w:val="18"/>
              </w:rPr>
              <w:t>Dynamics 365 for F</w:t>
            </w:r>
            <w:r w:rsidRPr="009906FA">
              <w:rPr>
                <w:sz w:val="18"/>
                <w:szCs w:val="18"/>
              </w:rPr>
              <w:t>ield</w:t>
            </w:r>
            <w:r>
              <w:rPr>
                <w:sz w:val="18"/>
                <w:szCs w:val="18"/>
              </w:rPr>
              <w:t xml:space="preserve"> Services </w:t>
            </w:r>
            <w:r w:rsidRPr="009906FA">
              <w:rPr>
                <w:sz w:val="18"/>
                <w:szCs w:val="18"/>
              </w:rPr>
              <w:t>attach</w:t>
            </w:r>
          </w:p>
          <w:p w14:paraId="578B2DA3" w14:textId="005BFACE" w:rsidR="0082014E" w:rsidRPr="009906FA" w:rsidRDefault="0082014E" w:rsidP="009906FA">
            <w:pPr>
              <w:numPr>
                <w:ilvl w:val="1"/>
                <w:numId w:val="12"/>
              </w:numPr>
              <w:spacing w:before="120" w:after="0" w:line="240" w:lineRule="auto"/>
              <w:rPr>
                <w:sz w:val="18"/>
                <w:szCs w:val="18"/>
              </w:rPr>
            </w:pPr>
            <w:r>
              <w:rPr>
                <w:sz w:val="18"/>
                <w:szCs w:val="18"/>
              </w:rPr>
              <w:t>Dynamics 365 for F</w:t>
            </w:r>
            <w:r w:rsidRPr="009906FA">
              <w:rPr>
                <w:sz w:val="18"/>
                <w:szCs w:val="18"/>
              </w:rPr>
              <w:t>in</w:t>
            </w:r>
            <w:r>
              <w:rPr>
                <w:sz w:val="18"/>
                <w:szCs w:val="18"/>
              </w:rPr>
              <w:t xml:space="preserve"> </w:t>
            </w:r>
            <w:r w:rsidRPr="009906FA">
              <w:rPr>
                <w:sz w:val="18"/>
                <w:szCs w:val="18"/>
              </w:rPr>
              <w:t>attach</w:t>
            </w:r>
          </w:p>
          <w:p w14:paraId="1162AE71" w14:textId="249D64A0" w:rsidR="0082014E" w:rsidRPr="009906FA" w:rsidRDefault="0082014E" w:rsidP="009906FA">
            <w:pPr>
              <w:numPr>
                <w:ilvl w:val="1"/>
                <w:numId w:val="12"/>
              </w:numPr>
              <w:spacing w:before="120" w:after="0" w:line="240" w:lineRule="auto"/>
              <w:rPr>
                <w:sz w:val="18"/>
                <w:szCs w:val="18"/>
              </w:rPr>
            </w:pPr>
            <w:r>
              <w:rPr>
                <w:sz w:val="18"/>
                <w:szCs w:val="18"/>
              </w:rPr>
              <w:t xml:space="preserve">Dynamics 365 for SCM attach </w:t>
            </w:r>
          </w:p>
          <w:p w14:paraId="11CAF1EE" w14:textId="79EAC754" w:rsidR="0082014E" w:rsidRPr="009906FA" w:rsidRDefault="0082014E" w:rsidP="009906FA">
            <w:pPr>
              <w:numPr>
                <w:ilvl w:val="1"/>
                <w:numId w:val="12"/>
              </w:numPr>
              <w:spacing w:before="120" w:after="0" w:line="240" w:lineRule="auto"/>
              <w:rPr>
                <w:sz w:val="18"/>
                <w:szCs w:val="18"/>
              </w:rPr>
            </w:pPr>
            <w:r>
              <w:rPr>
                <w:sz w:val="18"/>
                <w:szCs w:val="18"/>
              </w:rPr>
              <w:t>Dynamics 365 Team Members</w:t>
            </w:r>
          </w:p>
          <w:p w14:paraId="31AFF8E0" w14:textId="4313AE64" w:rsidR="0082014E" w:rsidRPr="009906FA" w:rsidRDefault="0082014E" w:rsidP="009906FA">
            <w:pPr>
              <w:numPr>
                <w:ilvl w:val="1"/>
                <w:numId w:val="12"/>
              </w:numPr>
              <w:spacing w:before="120" w:after="0" w:line="240" w:lineRule="auto"/>
              <w:rPr>
                <w:sz w:val="18"/>
                <w:szCs w:val="18"/>
              </w:rPr>
            </w:pPr>
            <w:r>
              <w:rPr>
                <w:sz w:val="18"/>
                <w:szCs w:val="18"/>
              </w:rPr>
              <w:t>Dynamics 365 for Sale Pro</w:t>
            </w:r>
          </w:p>
          <w:p w14:paraId="46EB72CE" w14:textId="1B61ADD6" w:rsidR="0082014E" w:rsidRPr="009906FA" w:rsidRDefault="0082014E" w:rsidP="009906FA">
            <w:pPr>
              <w:numPr>
                <w:ilvl w:val="1"/>
                <w:numId w:val="12"/>
              </w:numPr>
              <w:spacing w:before="120" w:after="0" w:line="240" w:lineRule="auto"/>
              <w:rPr>
                <w:sz w:val="18"/>
                <w:szCs w:val="18"/>
              </w:rPr>
            </w:pPr>
            <w:r>
              <w:rPr>
                <w:sz w:val="18"/>
                <w:szCs w:val="18"/>
              </w:rPr>
              <w:t xml:space="preserve">Dynamics 365 for Sale Pro </w:t>
            </w:r>
            <w:r w:rsidRPr="009906FA">
              <w:rPr>
                <w:sz w:val="18"/>
                <w:szCs w:val="18"/>
              </w:rPr>
              <w:t>attach</w:t>
            </w:r>
          </w:p>
          <w:p w14:paraId="51A022F9" w14:textId="51CC5BD0" w:rsidR="0082014E" w:rsidRPr="009906FA" w:rsidRDefault="0082014E" w:rsidP="009906FA">
            <w:pPr>
              <w:numPr>
                <w:ilvl w:val="1"/>
                <w:numId w:val="12"/>
              </w:numPr>
              <w:spacing w:before="120" w:after="0" w:line="240" w:lineRule="auto"/>
              <w:rPr>
                <w:sz w:val="18"/>
                <w:szCs w:val="18"/>
              </w:rPr>
            </w:pPr>
            <w:r>
              <w:rPr>
                <w:sz w:val="18"/>
                <w:szCs w:val="18"/>
              </w:rPr>
              <w:t>Dynamics 365 for Customer Services Pro</w:t>
            </w:r>
          </w:p>
          <w:p w14:paraId="076A9802" w14:textId="01DC1530" w:rsidR="0082014E" w:rsidRPr="009906FA" w:rsidRDefault="0082014E" w:rsidP="009906FA">
            <w:pPr>
              <w:numPr>
                <w:ilvl w:val="1"/>
                <w:numId w:val="12"/>
              </w:numPr>
              <w:spacing w:before="120" w:after="0" w:line="240" w:lineRule="auto"/>
              <w:rPr>
                <w:sz w:val="18"/>
                <w:szCs w:val="18"/>
              </w:rPr>
            </w:pPr>
            <w:r>
              <w:rPr>
                <w:sz w:val="18"/>
                <w:szCs w:val="18"/>
              </w:rPr>
              <w:t xml:space="preserve">Dynamics 365 for Customer Services Pro </w:t>
            </w:r>
            <w:r w:rsidRPr="009906FA">
              <w:rPr>
                <w:sz w:val="18"/>
                <w:szCs w:val="18"/>
              </w:rPr>
              <w:t>attach</w:t>
            </w:r>
          </w:p>
          <w:p w14:paraId="1F562745" w14:textId="0044A28F" w:rsidR="0082014E" w:rsidRPr="009906FA" w:rsidRDefault="0082014E" w:rsidP="009906FA">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9906FA">
            <w:pPr>
              <w:numPr>
                <w:ilvl w:val="1"/>
                <w:numId w:val="12"/>
              </w:numPr>
              <w:spacing w:before="120" w:after="0" w:line="240" w:lineRule="auto"/>
              <w:rPr>
                <w:sz w:val="18"/>
                <w:szCs w:val="18"/>
              </w:rPr>
            </w:pPr>
            <w:r>
              <w:rPr>
                <w:sz w:val="18"/>
                <w:szCs w:val="18"/>
              </w:rPr>
              <w:t>Dynamics 365 Unified Operations – Activity</w:t>
            </w:r>
          </w:p>
          <w:p w14:paraId="0A064E7C" w14:textId="6538CDD0" w:rsidR="0082014E" w:rsidRPr="003C0EFD" w:rsidRDefault="0082014E" w:rsidP="0082014E">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4" w:name="_Toc25584030"/>
      <w:r w:rsidRPr="00E75EA3">
        <w:t>Office 365</w:t>
      </w:r>
      <w:bookmarkEnd w:id="134"/>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77777777" w:rsidR="001D507E" w:rsidRPr="00E75EA3" w:rsidRDefault="001D507E" w:rsidP="002B2ED3">
            <w:pPr>
              <w:keepNext/>
              <w:jc w:val="center"/>
              <w:rPr>
                <w:rFonts w:cs="Tahoma"/>
                <w:b/>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77777777"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lastRenderedPageBreak/>
              <w:t>Power BI Pro</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025B92BF" w14:textId="0A9CF803" w:rsidR="00427FB6" w:rsidRPr="00427FB6" w:rsidRDefault="00427FB6" w:rsidP="00427FB6">
            <w:pPr>
              <w:numPr>
                <w:ilvl w:val="0"/>
                <w:numId w:val="24"/>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p w14:paraId="511C3042" w14:textId="77777777" w:rsidR="001D507E" w:rsidRPr="00E75EA3" w:rsidRDefault="001D507E" w:rsidP="00C91713">
            <w:pPr>
              <w:ind w:left="90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5" w:name="_Toc25584031"/>
      <w:r>
        <w:t>Office</w:t>
      </w:r>
      <w:r w:rsidR="0026373C" w:rsidRPr="00E75EA3">
        <w:t xml:space="preserve"> 365</w:t>
      </w:r>
      <w:r w:rsidR="0026373C">
        <w:t xml:space="preserve"> for Academic</w:t>
      </w:r>
      <w:bookmarkEnd w:id="135"/>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77777777" w:rsidR="0026373C" w:rsidRDefault="0026373C" w:rsidP="006722CF">
            <w:pPr>
              <w:numPr>
                <w:ilvl w:val="0"/>
                <w:numId w:val="12"/>
              </w:numPr>
              <w:spacing w:before="120" w:after="0" w:line="240" w:lineRule="auto"/>
              <w:rPr>
                <w:rFonts w:cs="Tahoma"/>
                <w:sz w:val="18"/>
                <w:szCs w:val="18"/>
              </w:rPr>
            </w:pPr>
            <w:r w:rsidRPr="003C0EFD">
              <w:rPr>
                <w:rFonts w:cs="Tahoma"/>
                <w:sz w:val="18"/>
                <w:szCs w:val="18"/>
              </w:rPr>
              <w:t>Office 365 ProPlus 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6" w:name="_Toc25584032"/>
      <w:r w:rsidRPr="00E75EA3">
        <w:t>21Vianet Product Availability Definition</w:t>
      </w:r>
      <w:r w:rsidR="00BE1417" w:rsidRPr="00E75EA3">
        <w:t>s</w:t>
      </w:r>
      <w:bookmarkEnd w:id="136"/>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lastRenderedPageBreak/>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28913391" w14:textId="1F0D3E96" w:rsidR="005A0CD4" w:rsidRPr="00E75EA3" w:rsidRDefault="000843EE" w:rsidP="0056206C">
      <w:pPr>
        <w:ind w:left="720"/>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p>
    <w:p w14:paraId="70228A49" w14:textId="77777777" w:rsidR="003662E7" w:rsidRDefault="003662E7">
      <w:pPr>
        <w:rPr>
          <w:rFonts w:asciiTheme="majorHAnsi" w:hAnsiTheme="majorHAnsi"/>
          <w:b/>
          <w:sz w:val="40"/>
        </w:rPr>
      </w:pPr>
      <w:r>
        <w:br w:type="page"/>
      </w:r>
    </w:p>
    <w:p w14:paraId="47EE7675" w14:textId="2FA53658" w:rsidR="000E6ED8" w:rsidRPr="00E75EA3" w:rsidRDefault="00D67A4B" w:rsidP="00233C87">
      <w:pPr>
        <w:pStyle w:val="ProductList-SectionHeading"/>
        <w:outlineLvl w:val="0"/>
      </w:pPr>
      <w:bookmarkStart w:id="137" w:name="_Toc25584033"/>
      <w:bookmarkStart w:id="138" w:name="Attachment1"/>
      <w:r w:rsidRPr="00E75EA3">
        <w:lastRenderedPageBreak/>
        <w:t>A</w:t>
      </w:r>
      <w:r w:rsidR="000F30F7" w:rsidRPr="00E75EA3">
        <w:t>ttachment</w:t>
      </w:r>
      <w:r w:rsidRPr="00E75EA3">
        <w:t xml:space="preserve"> 1 – Notices</w:t>
      </w:r>
      <w:bookmarkEnd w:id="130"/>
      <w:bookmarkEnd w:id="137"/>
    </w:p>
    <w:p w14:paraId="0B79155F" w14:textId="77777777" w:rsidR="001D309C" w:rsidRPr="006B51CC" w:rsidRDefault="001D309C" w:rsidP="001D309C">
      <w:pPr>
        <w:pStyle w:val="ProductList-Offering1Heading"/>
        <w:outlineLvl w:val="1"/>
      </w:pPr>
      <w:bookmarkStart w:id="139" w:name="_Toc536520086"/>
      <w:bookmarkStart w:id="140" w:name="_Toc25584034"/>
      <w:bookmarkStart w:id="141" w:name="_Toc507349540"/>
      <w:bookmarkStart w:id="142" w:name="_Toc487134060"/>
      <w:bookmarkEnd w:id="138"/>
      <w:r w:rsidRPr="006B51CC">
        <w:t>Bing Maps</w:t>
      </w:r>
      <w:bookmarkEnd w:id="139"/>
      <w:bookmarkEnd w:id="140"/>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6" w:history="1">
        <w:r w:rsidRPr="006B51CC">
          <w:rPr>
            <w:rStyle w:val="Hyperlink"/>
          </w:rPr>
          <w:t>go.microsoft.com/?linkid=9710837</w:t>
        </w:r>
      </w:hyperlink>
      <w:r w:rsidRPr="006B51CC">
        <w:t xml:space="preserve"> and the Microsoft Privacy Statement available at </w:t>
      </w:r>
      <w:hyperlink r:id="rId47"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3" w:name="_Toc25584035"/>
      <w:bookmarkEnd w:id="141"/>
      <w:r w:rsidRPr="00E75EA3">
        <w:t>Notice about Azure Media Services H.265/HEVC Encoding</w:t>
      </w:r>
      <w:bookmarkEnd w:id="142"/>
      <w:bookmarkEnd w:id="143"/>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4" w:name="_Toc25584036"/>
      <w:r w:rsidRPr="00E75EA3">
        <w:t>Notice about H.264/AVC Visual Standard, VC-1 Video Standard, MPEG-4 Part 2 Visual Standard and MPEG-2 Video Standard</w:t>
      </w:r>
      <w:bookmarkEnd w:id="144"/>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8"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5" w:name="_Toc507349543"/>
      <w:bookmarkStart w:id="146" w:name="_Toc487134064"/>
      <w:bookmarkStart w:id="147" w:name="_Toc487134062"/>
      <w:r>
        <w:br w:type="page"/>
      </w:r>
    </w:p>
    <w:p w14:paraId="3F3A751A" w14:textId="0A1DCAD5" w:rsidR="000E0557" w:rsidRPr="00E75EA3" w:rsidRDefault="000E0557" w:rsidP="000E0557">
      <w:pPr>
        <w:pStyle w:val="ProductList-SectionHeading"/>
        <w:spacing w:after="60"/>
        <w:outlineLvl w:val="0"/>
      </w:pPr>
      <w:bookmarkStart w:id="148" w:name="_Toc25584037"/>
      <w:bookmarkStart w:id="149" w:name="Attachment2"/>
      <w:r w:rsidRPr="00E75EA3">
        <w:lastRenderedPageBreak/>
        <w:t>Attachment 2 – Subscription License Suites</w:t>
      </w:r>
      <w:bookmarkEnd w:id="145"/>
      <w:bookmarkEnd w:id="148"/>
    </w:p>
    <w:bookmarkEnd w:id="149"/>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50" w:name="_Toc25584038"/>
      <w:bookmarkStart w:id="151" w:name="Attachment3"/>
      <w:r w:rsidRPr="00E75EA3">
        <w:lastRenderedPageBreak/>
        <w:t>Attachment 3 – The Standard Contractual Clauses (Processors)</w:t>
      </w:r>
      <w:bookmarkEnd w:id="146"/>
      <w:bookmarkEnd w:id="150"/>
    </w:p>
    <w:bookmarkEnd w:id="151"/>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2" w:name="Appendix1toAttachment3"/>
      <w:r w:rsidRPr="00E75EA3">
        <w:rPr>
          <w:b/>
        </w:rPr>
        <w:t>Appendix 1 to the Standard Contractual Clauses</w:t>
      </w:r>
      <w:bookmarkEnd w:id="152"/>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7"/>
    </w:p>
    <w:p w14:paraId="76427307" w14:textId="77777777" w:rsidR="00C72BDA" w:rsidRPr="00E75EA3" w:rsidRDefault="00C72BDA" w:rsidP="00C91713">
      <w:pPr>
        <w:pStyle w:val="ProductList-Body"/>
        <w:sectPr w:rsidR="00C72BDA" w:rsidRPr="00E75EA3" w:rsidSect="00285866">
          <w:footerReference w:type="default" r:id="rId50"/>
          <w:footerReference w:type="first" r:id="rId51"/>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3" w:name="Attachment4"/>
      <w:bookmarkStart w:id="154" w:name="_Toc25584039"/>
      <w:r w:rsidRPr="00E75EA3">
        <w:lastRenderedPageBreak/>
        <w:t>Attachment 4 – European Union General Data Protection Regulation Terms</w:t>
      </w:r>
      <w:bookmarkEnd w:id="153"/>
      <w:bookmarkEnd w:id="154"/>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E03A1" w14:textId="77777777" w:rsidR="00E94AA2" w:rsidRDefault="00E94AA2" w:rsidP="009A573F">
      <w:pPr>
        <w:spacing w:after="0" w:line="240" w:lineRule="auto"/>
      </w:pPr>
      <w:r>
        <w:separator/>
      </w:r>
    </w:p>
    <w:p w14:paraId="189E21D0" w14:textId="77777777" w:rsidR="00E94AA2" w:rsidRDefault="00E94AA2" w:rsidP="00C91713"/>
  </w:endnote>
  <w:endnote w:type="continuationSeparator" w:id="0">
    <w:p w14:paraId="32EA2BC6" w14:textId="77777777" w:rsidR="00E94AA2" w:rsidRDefault="00E94AA2" w:rsidP="009A573F">
      <w:pPr>
        <w:spacing w:after="0" w:line="240" w:lineRule="auto"/>
      </w:pPr>
      <w:r>
        <w:continuationSeparator/>
      </w:r>
    </w:p>
    <w:p w14:paraId="5C9E1ED9" w14:textId="77777777" w:rsidR="00E94AA2" w:rsidRDefault="00E94AA2" w:rsidP="00C91713"/>
  </w:endnote>
  <w:endnote w:type="continuationNotice" w:id="1">
    <w:p w14:paraId="0F652F31" w14:textId="77777777" w:rsidR="00E94AA2" w:rsidRDefault="00E94AA2">
      <w:pPr>
        <w:spacing w:after="0" w:line="240" w:lineRule="auto"/>
      </w:pPr>
    </w:p>
    <w:p w14:paraId="37D01B6E" w14:textId="77777777" w:rsidR="00E94AA2" w:rsidRDefault="00E94AA2"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6E5FC" w14:textId="77777777" w:rsidR="00383D71" w:rsidRDefault="00383D7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FD1CF2"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FD1CF2"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FD1CF2"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FD1CF2"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FD1CF2"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FD1CF2"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0E1083" w:rsidRPr="00C91713" w:rsidRDefault="000E1083"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FD1CF2"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FD1CF2"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FD1CF2"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FD1CF2"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FD1CF2"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FD1CF2"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0E1083" w:rsidRPr="00591643" w:rsidRDefault="000E108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0E1083" w:rsidRPr="00591643" w:rsidRDefault="000E108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E1083" w:rsidRPr="00C91713" w:rsidRDefault="000E108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E1083" w:rsidRPr="00C91713" w:rsidRDefault="000E1083">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E1083" w:rsidRPr="00C91713" w:rsidRDefault="000E1083"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FB5AC" w14:textId="77777777" w:rsidR="00383D71" w:rsidRDefault="00383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FD1CF2"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FD1CF2"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FD1CF2"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FD1CF2"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FD1CF2"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FD1CF2"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E1083" w:rsidRPr="00C91713" w:rsidRDefault="000E1083">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E1083" w:rsidRPr="00C91713" w:rsidRDefault="000E1083"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E1083" w:rsidRPr="00C91713" w:rsidRDefault="000E1083">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0E1083" w:rsidRDefault="000E10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0E1083" w:rsidRPr="00591643" w:rsidRDefault="000E108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B4AB8" w14:textId="77777777" w:rsidR="00E94AA2" w:rsidRDefault="00E94AA2" w:rsidP="009A573F">
      <w:pPr>
        <w:spacing w:after="0" w:line="240" w:lineRule="auto"/>
      </w:pPr>
      <w:r>
        <w:separator/>
      </w:r>
    </w:p>
    <w:p w14:paraId="249E6CBB" w14:textId="77777777" w:rsidR="00E94AA2" w:rsidRDefault="00E94AA2" w:rsidP="00C91713"/>
  </w:footnote>
  <w:footnote w:type="continuationSeparator" w:id="0">
    <w:p w14:paraId="5214656E" w14:textId="77777777" w:rsidR="00E94AA2" w:rsidRDefault="00E94AA2" w:rsidP="009A573F">
      <w:pPr>
        <w:spacing w:after="0" w:line="240" w:lineRule="auto"/>
      </w:pPr>
      <w:r>
        <w:continuationSeparator/>
      </w:r>
    </w:p>
    <w:p w14:paraId="73841E79" w14:textId="77777777" w:rsidR="00E94AA2" w:rsidRDefault="00E94AA2" w:rsidP="00C91713"/>
  </w:footnote>
  <w:footnote w:type="continuationNotice" w:id="1">
    <w:p w14:paraId="3460F26E" w14:textId="77777777" w:rsidR="00E94AA2" w:rsidRDefault="00E94AA2">
      <w:pPr>
        <w:spacing w:after="0" w:line="240" w:lineRule="auto"/>
      </w:pPr>
    </w:p>
    <w:p w14:paraId="0641456C" w14:textId="77777777" w:rsidR="00E94AA2" w:rsidRDefault="00E94AA2"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4150" w14:textId="77777777" w:rsidR="00383D71" w:rsidRDefault="00383D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68C8987C"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64CB5">
      <w:rPr>
        <w:color w:val="404040" w:themeColor="text1" w:themeTint="BF"/>
        <w:sz w:val="16"/>
        <w:szCs w:val="16"/>
      </w:rPr>
      <w:t xml:space="preserve">December </w:t>
    </w:r>
    <w:r>
      <w:rPr>
        <w:color w:val="404040" w:themeColor="text1" w:themeTint="BF"/>
        <w:sz w:val="16"/>
        <w:szCs w:val="16"/>
      </w:rPr>
      <w:t>2019</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6AF1E718"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64CB5">
      <w:rPr>
        <w:color w:val="404040" w:themeColor="text1" w:themeTint="BF"/>
        <w:sz w:val="16"/>
        <w:szCs w:val="16"/>
      </w:rPr>
      <w:t xml:space="preserve">December </w:t>
    </w:r>
    <w:r>
      <w:rPr>
        <w:color w:val="404040" w:themeColor="text1" w:themeTint="BF"/>
        <w:sz w:val="16"/>
        <w:szCs w:val="16"/>
      </w:rPr>
      <w:t>2019</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A548A" w14:textId="77777777" w:rsidR="00383D71" w:rsidRDefault="00383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3880EDD"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64CB5">
          <w:rPr>
            <w:color w:val="404040" w:themeColor="text1" w:themeTint="BF"/>
            <w:sz w:val="16"/>
            <w:szCs w:val="16"/>
          </w:rPr>
          <w:t xml:space="preserve">December </w:t>
        </w:r>
        <w:r>
          <w:rPr>
            <w:color w:val="404040" w:themeColor="text1" w:themeTint="BF"/>
            <w:sz w:val="16"/>
            <w:szCs w:val="16"/>
          </w:rPr>
          <w:t>2019)</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122718F4"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A64CB5">
          <w:rPr>
            <w:color w:val="404040" w:themeColor="text1" w:themeTint="BF"/>
            <w:sz w:val="16"/>
            <w:szCs w:val="16"/>
          </w:rPr>
          <w:t xml:space="preserve">December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50D530AA"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A64CB5">
          <w:rPr>
            <w:color w:val="404040" w:themeColor="text1" w:themeTint="BF"/>
            <w:sz w:val="16"/>
            <w:szCs w:val="16"/>
          </w:rPr>
          <w:t xml:space="preserve">December </w:t>
        </w:r>
        <w:r>
          <w:rPr>
            <w:color w:val="404040" w:themeColor="text1" w:themeTint="BF"/>
            <w:sz w:val="16"/>
            <w:szCs w:val="16"/>
          </w:rPr>
          <w:t>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0E1083" w:rsidRDefault="000E1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4"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11"/>
  </w:num>
  <w:num w:numId="4">
    <w:abstractNumId w:val="7"/>
  </w:num>
  <w:num w:numId="5">
    <w:abstractNumId w:val="21"/>
  </w:num>
  <w:num w:numId="6">
    <w:abstractNumId w:val="20"/>
  </w:num>
  <w:num w:numId="7">
    <w:abstractNumId w:val="6"/>
  </w:num>
  <w:num w:numId="8">
    <w:abstractNumId w:val="2"/>
  </w:num>
  <w:num w:numId="9">
    <w:abstractNumId w:val="23"/>
  </w:num>
  <w:num w:numId="10">
    <w:abstractNumId w:val="24"/>
  </w:num>
  <w:num w:numId="11">
    <w:abstractNumId w:val="16"/>
  </w:num>
  <w:num w:numId="12">
    <w:abstractNumId w:val="1"/>
  </w:num>
  <w:num w:numId="13">
    <w:abstractNumId w:val="22"/>
  </w:num>
  <w:num w:numId="14">
    <w:abstractNumId w:val="13"/>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9"/>
  </w:num>
  <w:num w:numId="25">
    <w:abstractNumId w:val="5"/>
  </w:num>
  <w:num w:numId="26">
    <w:abstractNumId w:val="15"/>
  </w:num>
  <w:num w:numId="27">
    <w:abstractNumId w:val="8"/>
  </w:num>
  <w:num w:numId="28">
    <w:abstractNumId w:val="17"/>
  </w:num>
  <w:num w:numId="29">
    <w:abstractNumId w:val="10"/>
  </w:num>
  <w:num w:numId="30">
    <w:abstractNumId w:val="3"/>
  </w:num>
  <w:num w:numId="31">
    <w:abstractNumId w:val="12"/>
  </w:num>
  <w:num w:numId="3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aRXqbJzj5Gfxxpunj2EN4EFogt6yP4lfpiapm7Esvx+AJPFXc/VnsDEe3/4Ot6Cq4z/XO4+KV5XEkGIqlwKxYw==" w:salt="tt4FHEY/Hz522seuGt1DhA=="/>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45D1"/>
    <w:rsid w:val="00134979"/>
    <w:rsid w:val="001349C6"/>
    <w:rsid w:val="00134DA1"/>
    <w:rsid w:val="00134EF8"/>
    <w:rsid w:val="00135330"/>
    <w:rsid w:val="001353F1"/>
    <w:rsid w:val="001354FF"/>
    <w:rsid w:val="00135786"/>
    <w:rsid w:val="00135E95"/>
    <w:rsid w:val="00136411"/>
    <w:rsid w:val="00136452"/>
    <w:rsid w:val="00136597"/>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5EE8"/>
    <w:rsid w:val="00156112"/>
    <w:rsid w:val="00156365"/>
    <w:rsid w:val="00156772"/>
    <w:rsid w:val="0015683B"/>
    <w:rsid w:val="00156C1C"/>
    <w:rsid w:val="00156C3D"/>
    <w:rsid w:val="00157059"/>
    <w:rsid w:val="001574B9"/>
    <w:rsid w:val="00157BAC"/>
    <w:rsid w:val="00157D95"/>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A4C"/>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935"/>
    <w:rsid w:val="001F5AD1"/>
    <w:rsid w:val="001F6022"/>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74B"/>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3EE"/>
    <w:rsid w:val="00267409"/>
    <w:rsid w:val="002674D3"/>
    <w:rsid w:val="00267734"/>
    <w:rsid w:val="002678EE"/>
    <w:rsid w:val="0026799F"/>
    <w:rsid w:val="002708ED"/>
    <w:rsid w:val="00270CD4"/>
    <w:rsid w:val="00270E4C"/>
    <w:rsid w:val="00271226"/>
    <w:rsid w:val="00271353"/>
    <w:rsid w:val="00271873"/>
    <w:rsid w:val="00271FA4"/>
    <w:rsid w:val="00272578"/>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3BF"/>
    <w:rsid w:val="002F1507"/>
    <w:rsid w:val="002F20CC"/>
    <w:rsid w:val="002F2639"/>
    <w:rsid w:val="002F275E"/>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412E"/>
    <w:rsid w:val="00344771"/>
    <w:rsid w:val="003449DC"/>
    <w:rsid w:val="00345225"/>
    <w:rsid w:val="003459F0"/>
    <w:rsid w:val="00345AA4"/>
    <w:rsid w:val="0034658A"/>
    <w:rsid w:val="00346B53"/>
    <w:rsid w:val="00346CD3"/>
    <w:rsid w:val="00347188"/>
    <w:rsid w:val="003473FF"/>
    <w:rsid w:val="00347478"/>
    <w:rsid w:val="003475D6"/>
    <w:rsid w:val="00347E62"/>
    <w:rsid w:val="0035009E"/>
    <w:rsid w:val="00351B78"/>
    <w:rsid w:val="00352187"/>
    <w:rsid w:val="003523BA"/>
    <w:rsid w:val="003524E1"/>
    <w:rsid w:val="00352886"/>
    <w:rsid w:val="003530F1"/>
    <w:rsid w:val="0035389C"/>
    <w:rsid w:val="00353E4C"/>
    <w:rsid w:val="003548A6"/>
    <w:rsid w:val="00354A70"/>
    <w:rsid w:val="00354D09"/>
    <w:rsid w:val="00354EA0"/>
    <w:rsid w:val="0035525F"/>
    <w:rsid w:val="00355E48"/>
    <w:rsid w:val="00356011"/>
    <w:rsid w:val="00356463"/>
    <w:rsid w:val="00356974"/>
    <w:rsid w:val="003569F1"/>
    <w:rsid w:val="0035775E"/>
    <w:rsid w:val="0035795A"/>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5243"/>
    <w:rsid w:val="003A53F8"/>
    <w:rsid w:val="003A54FA"/>
    <w:rsid w:val="003A615E"/>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E41"/>
    <w:rsid w:val="003E66BB"/>
    <w:rsid w:val="003E6D69"/>
    <w:rsid w:val="003E6EF6"/>
    <w:rsid w:val="003F05DD"/>
    <w:rsid w:val="003F098C"/>
    <w:rsid w:val="003F0AC6"/>
    <w:rsid w:val="003F11DF"/>
    <w:rsid w:val="003F165B"/>
    <w:rsid w:val="003F1B20"/>
    <w:rsid w:val="003F1CB6"/>
    <w:rsid w:val="003F2BA0"/>
    <w:rsid w:val="003F2CA3"/>
    <w:rsid w:val="003F2F03"/>
    <w:rsid w:val="003F3078"/>
    <w:rsid w:val="003F30FC"/>
    <w:rsid w:val="003F337F"/>
    <w:rsid w:val="003F36D3"/>
    <w:rsid w:val="003F452B"/>
    <w:rsid w:val="003F4D02"/>
    <w:rsid w:val="003F4E20"/>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9DC"/>
    <w:rsid w:val="00470CF3"/>
    <w:rsid w:val="00471250"/>
    <w:rsid w:val="0047181B"/>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44F"/>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412"/>
    <w:rsid w:val="004B0615"/>
    <w:rsid w:val="004B1627"/>
    <w:rsid w:val="004B1924"/>
    <w:rsid w:val="004B21D7"/>
    <w:rsid w:val="004B3528"/>
    <w:rsid w:val="004B38EB"/>
    <w:rsid w:val="004B3A52"/>
    <w:rsid w:val="004B4452"/>
    <w:rsid w:val="004B4467"/>
    <w:rsid w:val="004B4FC3"/>
    <w:rsid w:val="004B537C"/>
    <w:rsid w:val="004B5E16"/>
    <w:rsid w:val="004B5F85"/>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06C"/>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54D"/>
    <w:rsid w:val="006008F6"/>
    <w:rsid w:val="00600926"/>
    <w:rsid w:val="00600B9C"/>
    <w:rsid w:val="00601776"/>
    <w:rsid w:val="00601A84"/>
    <w:rsid w:val="00601B7C"/>
    <w:rsid w:val="00603B87"/>
    <w:rsid w:val="006045F3"/>
    <w:rsid w:val="006049C4"/>
    <w:rsid w:val="00604DD7"/>
    <w:rsid w:val="00605D7F"/>
    <w:rsid w:val="00605E40"/>
    <w:rsid w:val="00605FF5"/>
    <w:rsid w:val="006065E6"/>
    <w:rsid w:val="00606601"/>
    <w:rsid w:val="00606607"/>
    <w:rsid w:val="0060703C"/>
    <w:rsid w:val="00607DF7"/>
    <w:rsid w:val="006103EE"/>
    <w:rsid w:val="0061055A"/>
    <w:rsid w:val="00610C71"/>
    <w:rsid w:val="00611682"/>
    <w:rsid w:val="00611E56"/>
    <w:rsid w:val="0061263F"/>
    <w:rsid w:val="00612836"/>
    <w:rsid w:val="00612B07"/>
    <w:rsid w:val="006139AE"/>
    <w:rsid w:val="00613EA8"/>
    <w:rsid w:val="006144F4"/>
    <w:rsid w:val="006146A3"/>
    <w:rsid w:val="0061507D"/>
    <w:rsid w:val="006154EB"/>
    <w:rsid w:val="00615570"/>
    <w:rsid w:val="00616369"/>
    <w:rsid w:val="00616BA5"/>
    <w:rsid w:val="00616C71"/>
    <w:rsid w:val="006177F3"/>
    <w:rsid w:val="00617E96"/>
    <w:rsid w:val="0062022E"/>
    <w:rsid w:val="0062068A"/>
    <w:rsid w:val="00620FF5"/>
    <w:rsid w:val="00621D0B"/>
    <w:rsid w:val="006223A9"/>
    <w:rsid w:val="006232DE"/>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E2B"/>
    <w:rsid w:val="006501BE"/>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612B"/>
    <w:rsid w:val="006A68FB"/>
    <w:rsid w:val="006A7B4B"/>
    <w:rsid w:val="006A7F69"/>
    <w:rsid w:val="006B05AC"/>
    <w:rsid w:val="006B0819"/>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F0661"/>
    <w:rsid w:val="006F08BD"/>
    <w:rsid w:val="006F1126"/>
    <w:rsid w:val="006F1174"/>
    <w:rsid w:val="006F177A"/>
    <w:rsid w:val="006F1BAE"/>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700254"/>
    <w:rsid w:val="0070061D"/>
    <w:rsid w:val="007012D6"/>
    <w:rsid w:val="0070170D"/>
    <w:rsid w:val="00701CF0"/>
    <w:rsid w:val="00702190"/>
    <w:rsid w:val="0070247B"/>
    <w:rsid w:val="00702B42"/>
    <w:rsid w:val="00703044"/>
    <w:rsid w:val="0070490F"/>
    <w:rsid w:val="007049DE"/>
    <w:rsid w:val="00704D9C"/>
    <w:rsid w:val="00704E5D"/>
    <w:rsid w:val="00704ED1"/>
    <w:rsid w:val="007056A7"/>
    <w:rsid w:val="00705779"/>
    <w:rsid w:val="00705B5B"/>
    <w:rsid w:val="00705CA1"/>
    <w:rsid w:val="00706672"/>
    <w:rsid w:val="007068B3"/>
    <w:rsid w:val="00706DAD"/>
    <w:rsid w:val="007070E1"/>
    <w:rsid w:val="00707F84"/>
    <w:rsid w:val="00710A2F"/>
    <w:rsid w:val="00711815"/>
    <w:rsid w:val="00711CB8"/>
    <w:rsid w:val="00711D13"/>
    <w:rsid w:val="00712719"/>
    <w:rsid w:val="007128B8"/>
    <w:rsid w:val="00712B04"/>
    <w:rsid w:val="00712C90"/>
    <w:rsid w:val="00713E1C"/>
    <w:rsid w:val="007144B7"/>
    <w:rsid w:val="00715159"/>
    <w:rsid w:val="007155B2"/>
    <w:rsid w:val="007178D6"/>
    <w:rsid w:val="00717B1D"/>
    <w:rsid w:val="00717B53"/>
    <w:rsid w:val="00717B93"/>
    <w:rsid w:val="007202B3"/>
    <w:rsid w:val="007206BA"/>
    <w:rsid w:val="00721532"/>
    <w:rsid w:val="00721AE2"/>
    <w:rsid w:val="00721DAE"/>
    <w:rsid w:val="00721E07"/>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40AE"/>
    <w:rsid w:val="00734214"/>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B012E"/>
    <w:rsid w:val="007B030B"/>
    <w:rsid w:val="007B0410"/>
    <w:rsid w:val="007B0545"/>
    <w:rsid w:val="007B10A5"/>
    <w:rsid w:val="007B1569"/>
    <w:rsid w:val="007B1754"/>
    <w:rsid w:val="007B1827"/>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374C"/>
    <w:rsid w:val="00813FC9"/>
    <w:rsid w:val="00814794"/>
    <w:rsid w:val="0081488D"/>
    <w:rsid w:val="00814F68"/>
    <w:rsid w:val="008152BD"/>
    <w:rsid w:val="00815C71"/>
    <w:rsid w:val="00815F6F"/>
    <w:rsid w:val="008167C4"/>
    <w:rsid w:val="0081688B"/>
    <w:rsid w:val="00816BB1"/>
    <w:rsid w:val="00816E31"/>
    <w:rsid w:val="0081713D"/>
    <w:rsid w:val="0082014E"/>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DBD"/>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40CA"/>
    <w:rsid w:val="0089477A"/>
    <w:rsid w:val="00894AB1"/>
    <w:rsid w:val="00896090"/>
    <w:rsid w:val="00896794"/>
    <w:rsid w:val="00896A72"/>
    <w:rsid w:val="00897417"/>
    <w:rsid w:val="00897730"/>
    <w:rsid w:val="00897864"/>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C4E"/>
    <w:rsid w:val="008B26A0"/>
    <w:rsid w:val="008B2E04"/>
    <w:rsid w:val="008B3629"/>
    <w:rsid w:val="008B3F8F"/>
    <w:rsid w:val="008B42FD"/>
    <w:rsid w:val="008B43FA"/>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3128"/>
    <w:rsid w:val="008C31AC"/>
    <w:rsid w:val="008C3E2C"/>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5945"/>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4E"/>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C45"/>
    <w:rsid w:val="009130AF"/>
    <w:rsid w:val="00913523"/>
    <w:rsid w:val="009137F8"/>
    <w:rsid w:val="00913927"/>
    <w:rsid w:val="00913E73"/>
    <w:rsid w:val="00913F1D"/>
    <w:rsid w:val="00913F48"/>
    <w:rsid w:val="009141A9"/>
    <w:rsid w:val="00916028"/>
    <w:rsid w:val="009168AE"/>
    <w:rsid w:val="00916E8F"/>
    <w:rsid w:val="00917104"/>
    <w:rsid w:val="00917344"/>
    <w:rsid w:val="00921B12"/>
    <w:rsid w:val="00921B56"/>
    <w:rsid w:val="009220D7"/>
    <w:rsid w:val="009220FB"/>
    <w:rsid w:val="00922168"/>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DFB"/>
    <w:rsid w:val="00927F8F"/>
    <w:rsid w:val="00930279"/>
    <w:rsid w:val="00930A79"/>
    <w:rsid w:val="00930D5E"/>
    <w:rsid w:val="00931C05"/>
    <w:rsid w:val="009328A8"/>
    <w:rsid w:val="009329E7"/>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355C"/>
    <w:rsid w:val="00943761"/>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147"/>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1E86"/>
    <w:rsid w:val="00982752"/>
    <w:rsid w:val="00982CAD"/>
    <w:rsid w:val="00983205"/>
    <w:rsid w:val="009832BC"/>
    <w:rsid w:val="00983895"/>
    <w:rsid w:val="00983C1C"/>
    <w:rsid w:val="009842C6"/>
    <w:rsid w:val="00984FF9"/>
    <w:rsid w:val="00985D3A"/>
    <w:rsid w:val="00986216"/>
    <w:rsid w:val="0098643F"/>
    <w:rsid w:val="0098678C"/>
    <w:rsid w:val="0098719B"/>
    <w:rsid w:val="009874E1"/>
    <w:rsid w:val="00987609"/>
    <w:rsid w:val="00987FE6"/>
    <w:rsid w:val="009906FA"/>
    <w:rsid w:val="00990867"/>
    <w:rsid w:val="0099090F"/>
    <w:rsid w:val="009912E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C93"/>
    <w:rsid w:val="009A1676"/>
    <w:rsid w:val="009A167F"/>
    <w:rsid w:val="009A2862"/>
    <w:rsid w:val="009A3046"/>
    <w:rsid w:val="009A3310"/>
    <w:rsid w:val="009A38BC"/>
    <w:rsid w:val="009A48E0"/>
    <w:rsid w:val="009A51CB"/>
    <w:rsid w:val="009A541A"/>
    <w:rsid w:val="009A5735"/>
    <w:rsid w:val="009A573F"/>
    <w:rsid w:val="009A5953"/>
    <w:rsid w:val="009A599F"/>
    <w:rsid w:val="009A5DDB"/>
    <w:rsid w:val="009A6193"/>
    <w:rsid w:val="009A62C7"/>
    <w:rsid w:val="009A6A5B"/>
    <w:rsid w:val="009A6ABA"/>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12"/>
    <w:rsid w:val="009D41E7"/>
    <w:rsid w:val="009D47AA"/>
    <w:rsid w:val="009D48DC"/>
    <w:rsid w:val="009D4F82"/>
    <w:rsid w:val="009D5302"/>
    <w:rsid w:val="009D55C7"/>
    <w:rsid w:val="009D601E"/>
    <w:rsid w:val="009D605D"/>
    <w:rsid w:val="009D6EEB"/>
    <w:rsid w:val="009D7029"/>
    <w:rsid w:val="009D7559"/>
    <w:rsid w:val="009D75E4"/>
    <w:rsid w:val="009D7B57"/>
    <w:rsid w:val="009E04A1"/>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89A"/>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AB7"/>
    <w:rsid w:val="00A47BC2"/>
    <w:rsid w:val="00A50201"/>
    <w:rsid w:val="00A50693"/>
    <w:rsid w:val="00A50B0B"/>
    <w:rsid w:val="00A50D8E"/>
    <w:rsid w:val="00A510DE"/>
    <w:rsid w:val="00A5152B"/>
    <w:rsid w:val="00A51EAA"/>
    <w:rsid w:val="00A52B52"/>
    <w:rsid w:val="00A53A28"/>
    <w:rsid w:val="00A53D5C"/>
    <w:rsid w:val="00A549D7"/>
    <w:rsid w:val="00A54ED6"/>
    <w:rsid w:val="00A55005"/>
    <w:rsid w:val="00A55EA4"/>
    <w:rsid w:val="00A568DD"/>
    <w:rsid w:val="00A5784A"/>
    <w:rsid w:val="00A57E72"/>
    <w:rsid w:val="00A60313"/>
    <w:rsid w:val="00A604C8"/>
    <w:rsid w:val="00A60F2D"/>
    <w:rsid w:val="00A6168B"/>
    <w:rsid w:val="00A61912"/>
    <w:rsid w:val="00A61B2A"/>
    <w:rsid w:val="00A61CA5"/>
    <w:rsid w:val="00A61CC0"/>
    <w:rsid w:val="00A61ED4"/>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F2D"/>
    <w:rsid w:val="00A960AB"/>
    <w:rsid w:val="00A963F2"/>
    <w:rsid w:val="00A97CA1"/>
    <w:rsid w:val="00AA0B21"/>
    <w:rsid w:val="00AA0F4D"/>
    <w:rsid w:val="00AA164E"/>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2B4"/>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13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A07"/>
    <w:rsid w:val="00B631DF"/>
    <w:rsid w:val="00B63E1A"/>
    <w:rsid w:val="00B640A9"/>
    <w:rsid w:val="00B642B8"/>
    <w:rsid w:val="00B64912"/>
    <w:rsid w:val="00B64EAD"/>
    <w:rsid w:val="00B6694A"/>
    <w:rsid w:val="00B66EA4"/>
    <w:rsid w:val="00B674C3"/>
    <w:rsid w:val="00B676BF"/>
    <w:rsid w:val="00B67B2D"/>
    <w:rsid w:val="00B70730"/>
    <w:rsid w:val="00B70E21"/>
    <w:rsid w:val="00B710C4"/>
    <w:rsid w:val="00B710D4"/>
    <w:rsid w:val="00B7194F"/>
    <w:rsid w:val="00B72944"/>
    <w:rsid w:val="00B732B4"/>
    <w:rsid w:val="00B74284"/>
    <w:rsid w:val="00B758C8"/>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34A"/>
    <w:rsid w:val="00B824A2"/>
    <w:rsid w:val="00B82BC6"/>
    <w:rsid w:val="00B838C9"/>
    <w:rsid w:val="00B8405F"/>
    <w:rsid w:val="00B847D5"/>
    <w:rsid w:val="00B8480A"/>
    <w:rsid w:val="00B85DA4"/>
    <w:rsid w:val="00B87430"/>
    <w:rsid w:val="00B87860"/>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6663"/>
    <w:rsid w:val="00BB690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0EA"/>
    <w:rsid w:val="00C221A1"/>
    <w:rsid w:val="00C22901"/>
    <w:rsid w:val="00C229BC"/>
    <w:rsid w:val="00C22F1E"/>
    <w:rsid w:val="00C2316D"/>
    <w:rsid w:val="00C237DE"/>
    <w:rsid w:val="00C23B64"/>
    <w:rsid w:val="00C23DF3"/>
    <w:rsid w:val="00C2472D"/>
    <w:rsid w:val="00C2477E"/>
    <w:rsid w:val="00C24866"/>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40652"/>
    <w:rsid w:val="00C4082F"/>
    <w:rsid w:val="00C40BC0"/>
    <w:rsid w:val="00C40F76"/>
    <w:rsid w:val="00C41140"/>
    <w:rsid w:val="00C414AE"/>
    <w:rsid w:val="00C422FE"/>
    <w:rsid w:val="00C4252F"/>
    <w:rsid w:val="00C4270B"/>
    <w:rsid w:val="00C42771"/>
    <w:rsid w:val="00C42E42"/>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43B"/>
    <w:rsid w:val="00C7659F"/>
    <w:rsid w:val="00C76893"/>
    <w:rsid w:val="00C76DE6"/>
    <w:rsid w:val="00C76DF3"/>
    <w:rsid w:val="00C76E41"/>
    <w:rsid w:val="00C776CD"/>
    <w:rsid w:val="00C778BC"/>
    <w:rsid w:val="00C77D51"/>
    <w:rsid w:val="00C77EA7"/>
    <w:rsid w:val="00C803A4"/>
    <w:rsid w:val="00C8172B"/>
    <w:rsid w:val="00C81E30"/>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63F"/>
    <w:rsid w:val="00C94671"/>
    <w:rsid w:val="00C94C84"/>
    <w:rsid w:val="00C94E0D"/>
    <w:rsid w:val="00C950E2"/>
    <w:rsid w:val="00C9518F"/>
    <w:rsid w:val="00C9572C"/>
    <w:rsid w:val="00C95735"/>
    <w:rsid w:val="00C95CCF"/>
    <w:rsid w:val="00C96E10"/>
    <w:rsid w:val="00C96E61"/>
    <w:rsid w:val="00C9711E"/>
    <w:rsid w:val="00C97FBB"/>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BED"/>
    <w:rsid w:val="00CD21FD"/>
    <w:rsid w:val="00CD256D"/>
    <w:rsid w:val="00CD2AF2"/>
    <w:rsid w:val="00CD3420"/>
    <w:rsid w:val="00CD369A"/>
    <w:rsid w:val="00CD3F25"/>
    <w:rsid w:val="00CD3F90"/>
    <w:rsid w:val="00CD4283"/>
    <w:rsid w:val="00CD4A10"/>
    <w:rsid w:val="00CD4E09"/>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3CC"/>
    <w:rsid w:val="00CE5674"/>
    <w:rsid w:val="00CE586E"/>
    <w:rsid w:val="00CE5B48"/>
    <w:rsid w:val="00CE5E33"/>
    <w:rsid w:val="00CE5EEC"/>
    <w:rsid w:val="00CE6406"/>
    <w:rsid w:val="00CE691F"/>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60D"/>
    <w:rsid w:val="00CF56ED"/>
    <w:rsid w:val="00CF5730"/>
    <w:rsid w:val="00CF577E"/>
    <w:rsid w:val="00CF60D7"/>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7F4"/>
    <w:rsid w:val="00D45935"/>
    <w:rsid w:val="00D45DBC"/>
    <w:rsid w:val="00D460F2"/>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F9D"/>
    <w:rsid w:val="00D7304E"/>
    <w:rsid w:val="00D733B9"/>
    <w:rsid w:val="00D73EC5"/>
    <w:rsid w:val="00D7478E"/>
    <w:rsid w:val="00D74926"/>
    <w:rsid w:val="00D75892"/>
    <w:rsid w:val="00D75CA4"/>
    <w:rsid w:val="00D75FF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4325"/>
    <w:rsid w:val="00D84904"/>
    <w:rsid w:val="00D84919"/>
    <w:rsid w:val="00D84C42"/>
    <w:rsid w:val="00D8508C"/>
    <w:rsid w:val="00D8533F"/>
    <w:rsid w:val="00D85593"/>
    <w:rsid w:val="00D85714"/>
    <w:rsid w:val="00D86163"/>
    <w:rsid w:val="00D8637C"/>
    <w:rsid w:val="00D863AE"/>
    <w:rsid w:val="00D86DF9"/>
    <w:rsid w:val="00D8708E"/>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4D45"/>
    <w:rsid w:val="00D96DCC"/>
    <w:rsid w:val="00D971EF"/>
    <w:rsid w:val="00D972D7"/>
    <w:rsid w:val="00D97771"/>
    <w:rsid w:val="00D97825"/>
    <w:rsid w:val="00D97E70"/>
    <w:rsid w:val="00DA0253"/>
    <w:rsid w:val="00DA037A"/>
    <w:rsid w:val="00DA05A7"/>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5FD"/>
    <w:rsid w:val="00E91B98"/>
    <w:rsid w:val="00E91D04"/>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27"/>
    <w:rsid w:val="00F4645E"/>
    <w:rsid w:val="00F46EF8"/>
    <w:rsid w:val="00F47C57"/>
    <w:rsid w:val="00F50460"/>
    <w:rsid w:val="00F50B87"/>
    <w:rsid w:val="00F51392"/>
    <w:rsid w:val="00F52150"/>
    <w:rsid w:val="00F521C6"/>
    <w:rsid w:val="00F52653"/>
    <w:rsid w:val="00F5268E"/>
    <w:rsid w:val="00F52AC4"/>
    <w:rsid w:val="00F52E8B"/>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1FD"/>
    <w:rsid w:val="00F6443D"/>
    <w:rsid w:val="00F64469"/>
    <w:rsid w:val="00F64479"/>
    <w:rsid w:val="00F64628"/>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927"/>
    <w:rsid w:val="00F71C20"/>
    <w:rsid w:val="00F72194"/>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10AC"/>
    <w:rsid w:val="00F920BB"/>
    <w:rsid w:val="00F921F4"/>
    <w:rsid w:val="00F92339"/>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755"/>
    <w:rsid w:val="00FB19EC"/>
    <w:rsid w:val="00FB1A86"/>
    <w:rsid w:val="00FB1C36"/>
    <w:rsid w:val="00FB1CF6"/>
    <w:rsid w:val="00FB1ECC"/>
    <w:rsid w:val="00FB2488"/>
    <w:rsid w:val="00FB24B1"/>
    <w:rsid w:val="00FB2A2A"/>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footer" Target="footer15.xml"/><Relationship Id="rId47" Type="http://schemas.openxmlformats.org/officeDocument/2006/relationships/hyperlink" Target="http://go.microsoft.com/fwlink/?LinkID=248686" TargetMode="Externa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yperlink" Target="https://www.azure.cn/a"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hyperlink" Target="http://www.office.com/sc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docs.azure.cn/zh-cn/articles/azure-marketplace/publishagreement" TargetMode="External"/><Relationship Id="rId43" Type="http://schemas.openxmlformats.org/officeDocument/2006/relationships/footer" Target="footer16.xml"/><Relationship Id="rId48" Type="http://schemas.openxmlformats.org/officeDocument/2006/relationships/hyperlink" Target="http://www.mpegla.com" TargetMode="Externa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s://www.azure.cn/zh-cn/support/contact/" TargetMode="External"/><Relationship Id="rId38" Type="http://schemas.openxmlformats.org/officeDocument/2006/relationships/footer" Target="footer13.xml"/><Relationship Id="rId46" Type="http://schemas.openxmlformats.org/officeDocument/2006/relationships/hyperlink" Target="http://go.microsoft.com/?linkid=9710837" TargetMode="External"/><Relationship Id="rId20" Type="http://schemas.openxmlformats.org/officeDocument/2006/relationships/footer" Target="footer5.xml"/><Relationship Id="rId41" Type="http://schemas.openxmlformats.org/officeDocument/2006/relationships/hyperlink" Target="http://www.21vbluecloud.com/ostp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9.xml"/><Relationship Id="rId4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03F1380ED614F920CE9D582E69D57" ma:contentTypeVersion="2" ma:contentTypeDescription="Create a new document." ma:contentTypeScope="" ma:versionID="6107102b8d2a58003b52397dc8328a20">
  <xsd:schema xmlns:xsd="http://www.w3.org/2001/XMLSchema" xmlns:xs="http://www.w3.org/2001/XMLSchema" xmlns:p="http://schemas.microsoft.com/office/2006/metadata/properties" xmlns:ns2="7baa8680-5a99-4f8c-ae87-1b2c7bb1662c" targetNamespace="http://schemas.microsoft.com/office/2006/metadata/properties" ma:root="true" ma:fieldsID="e293c1fe3b6ef355b10d769f97583e55" ns2:_="">
    <xsd:import namespace="7baa8680-5a99-4f8c-ae87-1b2c7bb166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a8680-5a99-4f8c-ae87-1b2c7bb166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7baa8680-5a99-4f8c-ae87-1b2c7bb1662c"/>
    <ds:schemaRef ds:uri="http://www.w3.org/XML/1998/namespace"/>
  </ds:schemaRefs>
</ds:datastoreItem>
</file>

<file path=customXml/itemProps2.xml><?xml version="1.0" encoding="utf-8"?>
<ds:datastoreItem xmlns:ds="http://schemas.openxmlformats.org/officeDocument/2006/customXml" ds:itemID="{AE7140A3-DED6-4AD4-BF78-A9306CC8E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a8680-5a99-4f8c-ae87-1b2c7bb1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4.xml><?xml version="1.0" encoding="utf-8"?>
<ds:datastoreItem xmlns:ds="http://schemas.openxmlformats.org/officeDocument/2006/customXml" ds:itemID="{538989D5-E88D-4583-A420-6FBDF8EB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17893</Words>
  <Characters>101996</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12</cp:revision>
  <cp:lastPrinted>2018-02-14T23:52:00Z</cp:lastPrinted>
  <dcterms:created xsi:type="dcterms:W3CDTF">2019-11-25T22:15:00Z</dcterms:created>
  <dcterms:modified xsi:type="dcterms:W3CDTF">2019-11-27T03:09:00Z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0x0101003FC03F1380ED614F920CE9D582E69D57</vt:lpwstr>
  </property>
  <property fmtid="{D5CDD505-2E9C-101B-9397-08002B2CF9AE}" pid="12" name="MSIP_Label_f42aa342-8706-4288-bd11-ebb85995028c_Owner">
    <vt:lpwstr>spatt@microsoft.com</vt:lpwstr>
  </property>
</Properties>
</file>